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F50" w:rsidRDefault="006F2F50" w:rsidP="008C07D8">
      <w:pPr>
        <w:pStyle w:val="Heading1"/>
      </w:pPr>
      <w:bookmarkStart w:id="0" w:name="_Toc390823893"/>
      <w:bookmarkStart w:id="1" w:name="_Toc391429585"/>
      <w:bookmarkStart w:id="2" w:name="_Toc391438550"/>
      <w:bookmarkStart w:id="3" w:name="_Toc396097023"/>
      <w:bookmarkStart w:id="4" w:name="_Toc398800653"/>
      <w:r w:rsidRPr="0050325E">
        <w:t>Ducting And Conduits</w:t>
      </w:r>
      <w:bookmarkEnd w:id="0"/>
      <w:bookmarkEnd w:id="1"/>
      <w:bookmarkEnd w:id="2"/>
      <w:bookmarkEnd w:id="3"/>
      <w:bookmarkEnd w:id="4"/>
    </w:p>
    <w:p w:rsidR="0054634F" w:rsidRPr="0054634F" w:rsidRDefault="007E02C9" w:rsidP="00B93F40">
      <w:r>
        <w:t xml:space="preserve">DIPL Roadworks Master - </w:t>
      </w:r>
      <w:r w:rsidR="003E51B0">
        <w:t>May 2019</w:t>
      </w:r>
    </w:p>
    <w:p w:rsidR="007E02C9" w:rsidRDefault="007E02C9" w:rsidP="00167158">
      <w:pPr>
        <w:pStyle w:val="Heading2"/>
      </w:pPr>
      <w:bookmarkStart w:id="5" w:name="_Toc390823894"/>
      <w:bookmarkStart w:id="6" w:name="_Toc391429586"/>
      <w:bookmarkStart w:id="7" w:name="_Toc396097024"/>
      <w:bookmarkStart w:id="8" w:name="_Toc398800654"/>
      <w:r>
        <w:t>CROSS REFERENCES</w:t>
      </w:r>
    </w:p>
    <w:p w:rsidR="007E02C9" w:rsidRDefault="007E02C9" w:rsidP="008775F2">
      <w:pPr>
        <w:rPr>
          <w:lang w:val="en-US"/>
        </w:rPr>
      </w:pPr>
      <w:r>
        <w:rPr>
          <w:lang w:val="en-US"/>
        </w:rPr>
        <w:t>EARTHWORKS</w:t>
      </w:r>
    </w:p>
    <w:p w:rsidR="007E02C9" w:rsidRDefault="007E02C9" w:rsidP="00B93F40">
      <w:pPr>
        <w:rPr>
          <w:lang w:val="en-US"/>
        </w:rPr>
      </w:pPr>
      <w:r>
        <w:rPr>
          <w:lang w:val="en-US"/>
        </w:rPr>
        <w:t>PAVEMENTS AND SHOULDERS</w:t>
      </w:r>
    </w:p>
    <w:p w:rsidR="007E02C9" w:rsidRPr="00B93F40" w:rsidRDefault="007E02C9" w:rsidP="00B93F40">
      <w:pPr>
        <w:rPr>
          <w:lang w:val="en-US"/>
        </w:rPr>
      </w:pPr>
      <w:r>
        <w:rPr>
          <w:lang w:val="en-US"/>
        </w:rPr>
        <w:t>TRAFFIC CONTROL SIGNALS AND INTELLIGENT TRANSPORT SYSTEMS</w:t>
      </w:r>
    </w:p>
    <w:p w:rsidR="006F2F50" w:rsidRPr="00167158" w:rsidRDefault="006F2F50" w:rsidP="00167158">
      <w:pPr>
        <w:pStyle w:val="Heading2"/>
      </w:pPr>
      <w:r w:rsidRPr="00167158">
        <w:t>Standards</w:t>
      </w:r>
      <w:bookmarkEnd w:id="5"/>
      <w:bookmarkEnd w:id="6"/>
      <w:bookmarkEnd w:id="7"/>
      <w:bookmarkEnd w:id="8"/>
      <w:r w:rsidR="007B77FF">
        <w:t xml:space="preserve"> and Publications</w:t>
      </w:r>
      <w:bookmarkStart w:id="9" w:name="_GoBack"/>
      <w:bookmarkEnd w:id="9"/>
    </w:p>
    <w:p w:rsidR="006F2F50" w:rsidRPr="0050325E" w:rsidRDefault="006F2F50" w:rsidP="00167158">
      <w:pPr>
        <w:tabs>
          <w:tab w:val="left" w:pos="1701"/>
          <w:tab w:val="left" w:pos="2268"/>
        </w:tabs>
      </w:pPr>
      <w:r w:rsidRPr="0050325E">
        <w:t>Conform to the following Standards and Publication</w:t>
      </w:r>
      <w:r w:rsidR="0054634F">
        <w:t>s</w:t>
      </w:r>
      <w:r w:rsidRPr="0050325E">
        <w:t xml:space="preserve"> unless specified otherwise, and </w:t>
      </w:r>
      <w:r w:rsidR="007E02C9">
        <w:t xml:space="preserve">comply </w:t>
      </w:r>
      <w:r w:rsidRPr="0050325E">
        <w:t xml:space="preserve">with the requirements </w:t>
      </w:r>
      <w:r w:rsidR="00E77D9E">
        <w:t>of the Power</w:t>
      </w:r>
      <w:r w:rsidR="005B5A2E">
        <w:t>Water Corporation</w:t>
      </w:r>
      <w:r w:rsidRPr="0050325E">
        <w:t xml:space="preserve">, </w:t>
      </w:r>
      <w:r w:rsidR="007E02C9">
        <w:t xml:space="preserve">the NBN Co., </w:t>
      </w:r>
      <w:r w:rsidRPr="0050325E">
        <w:t>and Telstra Australia:</w:t>
      </w:r>
    </w:p>
    <w:p w:rsidR="006F2F50" w:rsidRPr="0050325E" w:rsidRDefault="006F2F50" w:rsidP="00167158">
      <w:pPr>
        <w:tabs>
          <w:tab w:val="left" w:pos="1701"/>
          <w:tab w:val="left" w:pos="2268"/>
        </w:tabs>
      </w:pPr>
      <w:r w:rsidRPr="0050325E">
        <w:t>AS 1345</w:t>
      </w:r>
      <w:r w:rsidRPr="0050325E">
        <w:tab/>
        <w:t>Identifica</w:t>
      </w:r>
      <w:r w:rsidR="000F355E">
        <w:t>tion of the contents of pipes, c</w:t>
      </w:r>
      <w:r w:rsidRPr="0050325E">
        <w:t>onduits and</w:t>
      </w:r>
      <w:r w:rsidR="000F355E">
        <w:t xml:space="preserve"> d</w:t>
      </w:r>
      <w:r w:rsidRPr="0050325E">
        <w:t>ucts.</w:t>
      </w:r>
    </w:p>
    <w:p w:rsidR="006F2F50" w:rsidRDefault="00C63C24" w:rsidP="00167158">
      <w:pPr>
        <w:tabs>
          <w:tab w:val="left" w:pos="1701"/>
          <w:tab w:val="left" w:pos="2268"/>
        </w:tabs>
      </w:pPr>
      <w:r>
        <w:t>AS/NZS </w:t>
      </w:r>
      <w:r w:rsidR="006F2F50" w:rsidRPr="0050325E">
        <w:t>2053</w:t>
      </w:r>
      <w:r w:rsidR="007E02C9">
        <w:t>(set)</w:t>
      </w:r>
      <w:r w:rsidR="006F2F50" w:rsidRPr="0050325E">
        <w:tab/>
        <w:t>Condui</w:t>
      </w:r>
      <w:r w:rsidR="000F355E">
        <w:t>ts and fittings for electrical i</w:t>
      </w:r>
      <w:r w:rsidR="006F2F50" w:rsidRPr="0050325E">
        <w:t>nstallations.</w:t>
      </w:r>
    </w:p>
    <w:p w:rsidR="007E02C9" w:rsidRDefault="007E02C9" w:rsidP="007E02C9">
      <w:pPr>
        <w:tabs>
          <w:tab w:val="left" w:pos="1701"/>
          <w:tab w:val="left" w:pos="2268"/>
        </w:tabs>
      </w:pPr>
      <w:r>
        <w:t>AS/NZS 3000</w:t>
      </w:r>
      <w:r>
        <w:tab/>
        <w:t>Electrical installations (Australian/New Zealand Wiring Rules)</w:t>
      </w:r>
    </w:p>
    <w:p w:rsidR="00212C88" w:rsidRPr="0050325E" w:rsidRDefault="00C63C24" w:rsidP="00167158">
      <w:pPr>
        <w:tabs>
          <w:tab w:val="left" w:pos="1701"/>
          <w:tab w:val="left" w:pos="2268"/>
        </w:tabs>
      </w:pPr>
      <w:r>
        <w:t>AS/NZS </w:t>
      </w:r>
      <w:r w:rsidR="00212C88">
        <w:t>3500</w:t>
      </w:r>
      <w:r w:rsidR="007E02C9">
        <w:t>(set)</w:t>
      </w:r>
      <w:r w:rsidR="00212C88">
        <w:tab/>
        <w:t>Plumbing and drainage</w:t>
      </w:r>
    </w:p>
    <w:p w:rsidR="006F2F50" w:rsidRPr="0050325E" w:rsidRDefault="006F2F50">
      <w:pPr>
        <w:pStyle w:val="ASList"/>
        <w:rPr>
          <w:lang w:val="en-AU"/>
        </w:rPr>
      </w:pPr>
    </w:p>
    <w:p w:rsidR="006F2F50" w:rsidRDefault="006F2F50" w:rsidP="00167158">
      <w:pPr>
        <w:tabs>
          <w:tab w:val="left" w:pos="1701"/>
        </w:tabs>
      </w:pPr>
      <w:r w:rsidRPr="0050325E">
        <w:t>NT</w:t>
      </w:r>
      <w:r w:rsidR="00C63C24">
        <w:t>M</w:t>
      </w:r>
      <w:r w:rsidRPr="0050325E">
        <w:t>TM</w:t>
      </w:r>
      <w:r w:rsidRPr="0050325E">
        <w:tab/>
      </w:r>
      <w:r w:rsidR="00C63C24">
        <w:t xml:space="preserve">NT </w:t>
      </w:r>
      <w:r w:rsidRPr="0050325E">
        <w:t>Materials Testing Manual</w:t>
      </w:r>
      <w:r w:rsidR="007E02C9">
        <w:t xml:space="preserve"> accessible via </w:t>
      </w:r>
      <w:hyperlink r:id="rId8" w:history="1">
        <w:r w:rsidR="007E02C9" w:rsidRPr="006447AE">
          <w:rPr>
            <w:rStyle w:val="Hyperlink"/>
            <w:rFonts w:eastAsiaTheme="majorEastAsia"/>
          </w:rPr>
          <w:t>https://transport.nt.gov.au/infrastructure/technical-standards-guidelines-and-specifications/materials-testing-manual</w:t>
        </w:r>
      </w:hyperlink>
    </w:p>
    <w:p w:rsidR="00C63C24" w:rsidRPr="0050325E" w:rsidRDefault="00C63C24" w:rsidP="00167158">
      <w:pPr>
        <w:tabs>
          <w:tab w:val="left" w:pos="1701"/>
        </w:tabs>
      </w:pPr>
      <w:r>
        <w:t>NTTM</w:t>
      </w:r>
      <w:r>
        <w:tab/>
        <w:t>NT Test Methods</w:t>
      </w:r>
    </w:p>
    <w:p w:rsidR="006F2F50" w:rsidRPr="00167158" w:rsidRDefault="006F2F50" w:rsidP="00167158">
      <w:pPr>
        <w:pStyle w:val="Heading2"/>
      </w:pPr>
      <w:bookmarkStart w:id="10" w:name="_Toc390823895"/>
      <w:bookmarkStart w:id="11" w:name="_Toc391429587"/>
      <w:bookmarkStart w:id="12" w:name="_Toc396097025"/>
      <w:bookmarkStart w:id="13" w:name="_Toc398800655"/>
      <w:r w:rsidRPr="00167158">
        <w:t>Supply And Installation</w:t>
      </w:r>
      <w:bookmarkEnd w:id="10"/>
      <w:bookmarkEnd w:id="11"/>
      <w:bookmarkEnd w:id="12"/>
      <w:bookmarkEnd w:id="13"/>
    </w:p>
    <w:p w:rsidR="006F2F50" w:rsidRPr="0050325E" w:rsidRDefault="006F2F50" w:rsidP="00167158">
      <w:r w:rsidRPr="0050325E">
        <w:t>Terminate duct crossings 500 mm behind kerbs unless specified otherwise.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 xml:space="preserve"> [Delete where there is no kerbing]</w:t>
      </w:r>
    </w:p>
    <w:p w:rsidR="006F2F50" w:rsidRPr="0050325E" w:rsidRDefault="006F2F50" w:rsidP="00167158">
      <w:r w:rsidRPr="0050325E">
        <w:t>Terminate duct crossings clear of the pavement as specified.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where there is kerbing</w:t>
      </w:r>
      <w:r w:rsidR="00167158">
        <w:rPr>
          <w:lang w:val="en-AU"/>
        </w:rPr>
        <w:t xml:space="preserve">. </w:t>
      </w:r>
      <w:r w:rsidRPr="0050325E">
        <w:rPr>
          <w:lang w:val="en-AU"/>
        </w:rPr>
        <w:t>Ensure that the drawings indicate the extent of the ducting]</w:t>
      </w:r>
    </w:p>
    <w:p w:rsidR="006F2F50" w:rsidRPr="0050325E" w:rsidRDefault="006F2F50" w:rsidP="00167158">
      <w:r w:rsidRPr="0050325E">
        <w:t>Excavate trench to a width appropriate for the ducting and which allows compaction of the backfill to be readily undertaken.</w:t>
      </w:r>
    </w:p>
    <w:p w:rsidR="006F2F50" w:rsidRPr="0050325E" w:rsidRDefault="006F2F50" w:rsidP="00167158">
      <w:r w:rsidRPr="0050325E">
        <w:t>Provide the specified minimum cover required by the relevant authority but not less than 750 mm.</w:t>
      </w:r>
    </w:p>
    <w:p w:rsidR="006F2F50" w:rsidRPr="0050325E" w:rsidRDefault="006F2F50" w:rsidP="00167158">
      <w:r w:rsidRPr="0050325E">
        <w:t>Locate ducts to avoid other services.</w:t>
      </w:r>
    </w:p>
    <w:p w:rsidR="006F2F50" w:rsidRPr="0050325E" w:rsidRDefault="006F2F50" w:rsidP="00167158">
      <w:r w:rsidRPr="0050325E">
        <w:t>Lay at right angles to the road centre line and with straight lines and grades unless specified otherwise.</w:t>
      </w:r>
    </w:p>
    <w:p w:rsidR="006F2F50" w:rsidRPr="0050325E" w:rsidRDefault="006F2F50" w:rsidP="00167158">
      <w:r w:rsidRPr="0050325E">
        <w:t>Minimum fall to be 1% to the lower side of the road.</w:t>
      </w:r>
    </w:p>
    <w:p w:rsidR="006F2F50" w:rsidRPr="0050325E" w:rsidRDefault="006F2F50" w:rsidP="00167158">
      <w:r w:rsidRPr="0050325E">
        <w:lastRenderedPageBreak/>
        <w:t>Lay ducting on 50 mm thick sand bedding.</w:t>
      </w:r>
    </w:p>
    <w:p w:rsidR="006F2F50" w:rsidRPr="0050325E" w:rsidRDefault="006F2F50" w:rsidP="00167158">
      <w:r w:rsidRPr="0050325E">
        <w:t>Install 4 mm galvanised draw wires in all conduits</w:t>
      </w:r>
      <w:r w:rsidR="00167158">
        <w:t xml:space="preserve">. </w:t>
      </w:r>
      <w:r w:rsidRPr="0050325E">
        <w:t>One draw wire to remain in place in conduit.</w:t>
      </w:r>
    </w:p>
    <w:p w:rsidR="006F2F50" w:rsidRPr="0050325E" w:rsidRDefault="006F2F50" w:rsidP="00167158">
      <w:r w:rsidRPr="0050325E">
        <w:t>Cap all conduits with standard UPVC caps.</w:t>
      </w:r>
    </w:p>
    <w:p w:rsidR="006F2F50" w:rsidRPr="0050325E" w:rsidRDefault="006F2F50" w:rsidP="00167158">
      <w:r w:rsidRPr="0050325E">
        <w:t>Place marker tape from each end of the conduit to the surface.</w:t>
      </w:r>
    </w:p>
    <w:p w:rsidR="006F2F50" w:rsidRPr="0050325E" w:rsidRDefault="006F2F50" w:rsidP="00167158">
      <w:r w:rsidRPr="0050325E">
        <w:t>Backfill the trench with select fill to subgrade level and compact to 95% relative compaction.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[Ensure that 'select fill’ is specified in the EARTHWORKS Section]</w:t>
      </w:r>
    </w:p>
    <w:p w:rsidR="006F2F50" w:rsidRPr="0050325E" w:rsidRDefault="006F2F50" w:rsidP="00167158">
      <w:r w:rsidRPr="0050325E">
        <w:t>Where trench excavated through pavement, backfill above subgrade level with base gravel, as specified in the PAVEMENTS AND SHOULDERS Section, compacted to 100% relative compaction</w:t>
      </w:r>
      <w:r w:rsidR="00167158">
        <w:t xml:space="preserve">. </w:t>
      </w:r>
      <w:r w:rsidRPr="0050325E">
        <w:t>Reinstate the surface.</w:t>
      </w:r>
    </w:p>
    <w:p w:rsidR="006F2F50" w:rsidRDefault="006F2F50">
      <w:pPr>
        <w:pStyle w:val="guidenotes"/>
        <w:rPr>
          <w:lang w:val="en-AU"/>
        </w:rPr>
      </w:pPr>
      <w:r w:rsidRPr="0050325E">
        <w:rPr>
          <w:lang w:val="en-AU"/>
        </w:rPr>
        <w:t>[Ensure that the PAVEMENTS AND SHOULDERS Section is included]</w:t>
      </w:r>
    </w:p>
    <w:p w:rsidR="006F2F50" w:rsidRPr="00167158" w:rsidRDefault="006F2F50" w:rsidP="00167158">
      <w:pPr>
        <w:pStyle w:val="Heading2"/>
      </w:pPr>
      <w:bookmarkStart w:id="14" w:name="_Toc390823896"/>
      <w:bookmarkStart w:id="15" w:name="_Toc391429588"/>
      <w:bookmarkStart w:id="16" w:name="_Toc396097026"/>
      <w:bookmarkStart w:id="17" w:name="_Toc398800656"/>
      <w:r w:rsidRPr="00167158">
        <w:t>Markings</w:t>
      </w:r>
      <w:bookmarkEnd w:id="14"/>
      <w:bookmarkEnd w:id="15"/>
      <w:bookmarkEnd w:id="16"/>
      <w:bookmarkEnd w:id="17"/>
    </w:p>
    <w:p w:rsidR="006F2F50" w:rsidRPr="0050325E" w:rsidRDefault="006F2F50" w:rsidP="00167158">
      <w:r w:rsidRPr="0050325E">
        <w:t>Mark kerbs with a letter to identify the type of ducts which pass under them as follows: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this sentence when there is no kerbing]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Electrical:</w:t>
      </w:r>
      <w:r w:rsidRPr="0050325E">
        <w:tab/>
        <w:t>‘E’.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Telstra:</w:t>
      </w:r>
      <w:r w:rsidRPr="0050325E">
        <w:tab/>
        <w:t>‘T’.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Water:</w:t>
      </w:r>
      <w:r w:rsidRPr="0050325E">
        <w:tab/>
        <w:t>‘W’.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Height of letter:</w:t>
      </w:r>
      <w:r w:rsidRPr="0050325E">
        <w:tab/>
        <w:t>50 mm.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Width of letter:</w:t>
      </w:r>
      <w:r w:rsidRPr="0050325E">
        <w:tab/>
        <w:t>30 mm.</w:t>
      </w:r>
    </w:p>
    <w:p w:rsidR="006F2F50" w:rsidRPr="0050325E" w:rsidRDefault="006F2F50" w:rsidP="00167158">
      <w:r w:rsidRPr="0050325E">
        <w:t>Stamp the letter into new kerb after the concrete has taken its initial set and before final set.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if not applicable]</w:t>
      </w:r>
    </w:p>
    <w:p w:rsidR="006F2F50" w:rsidRPr="0050325E" w:rsidRDefault="006F2F50" w:rsidP="00167158">
      <w:r w:rsidRPr="0050325E">
        <w:t>Mark existing kerb with an aluminium plate containing the identification letters as specified.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when there is no kerbing]</w:t>
      </w:r>
    </w:p>
    <w:p w:rsidR="006F2F50" w:rsidRPr="0050325E" w:rsidRDefault="006F2F50" w:rsidP="00167158">
      <w:r w:rsidRPr="0050325E">
        <w:t>Place a star picket 1300 mm long, painted white and set 300 mm into the ground directly over each end of the conduit.</w:t>
      </w:r>
    </w:p>
    <w:p w:rsidR="006F2F50" w:rsidRPr="0050325E" w:rsidRDefault="006F2F50" w:rsidP="00167158">
      <w:r w:rsidRPr="0050325E">
        <w:t>Attach an identification letter in red paint on a 50 mm x 30 mm aluminium plate fastened securely to the picket.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when kerbing exists]</w:t>
      </w:r>
    </w:p>
    <w:p w:rsidR="006F2F50" w:rsidRPr="00167158" w:rsidRDefault="006F2F50" w:rsidP="00167158">
      <w:pPr>
        <w:pStyle w:val="Heading2"/>
      </w:pPr>
      <w:bookmarkStart w:id="18" w:name="_Toc390823897"/>
      <w:bookmarkStart w:id="19" w:name="_Toc391429589"/>
      <w:bookmarkStart w:id="20" w:name="_Toc396097027"/>
      <w:bookmarkStart w:id="21" w:name="_Toc398800657"/>
      <w:r w:rsidRPr="00167158">
        <w:t>Conduit Markers</w:t>
      </w:r>
      <w:bookmarkEnd w:id="18"/>
      <w:bookmarkEnd w:id="19"/>
      <w:bookmarkEnd w:id="20"/>
      <w:bookmarkEnd w:id="21"/>
    </w:p>
    <w:p w:rsidR="006F2F50" w:rsidRPr="0050325E" w:rsidRDefault="006F2F50" w:rsidP="00167158">
      <w:r w:rsidRPr="0050325E">
        <w:t>Erect 600 mm x 600 mm signs at locations specified to highlight the existence of conduits.</w:t>
      </w:r>
    </w:p>
    <w:p w:rsidR="006F2F50" w:rsidRPr="0050325E" w:rsidRDefault="006F2F50" w:rsidP="00167158">
      <w:r w:rsidRPr="0050325E">
        <w:t>Sign legend to be:</w:t>
      </w:r>
    </w:p>
    <w:p w:rsidR="006F2F50" w:rsidRPr="0050325E" w:rsidRDefault="006F2F50" w:rsidP="00167158">
      <w:r w:rsidRPr="0050325E">
        <w:lastRenderedPageBreak/>
        <w:t>"Service Conduits Laid</w:t>
      </w:r>
      <w:r w:rsidR="00167158">
        <w:t xml:space="preserve">. </w:t>
      </w:r>
      <w:r w:rsidRPr="0050325E">
        <w:t>Opening of Road Surface Prohibited."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[Include only in special circumstances</w:t>
      </w:r>
      <w:r w:rsidR="00167158">
        <w:rPr>
          <w:lang w:val="en-AU"/>
        </w:rPr>
        <w:t xml:space="preserve">. </w:t>
      </w:r>
      <w:r w:rsidRPr="0050325E">
        <w:rPr>
          <w:lang w:val="en-AU"/>
        </w:rPr>
        <w:t>Ensure locations of signs specified]</w:t>
      </w:r>
    </w:p>
    <w:p w:rsidR="006F2F50" w:rsidRPr="00167158" w:rsidRDefault="006F2F50" w:rsidP="00167158">
      <w:pPr>
        <w:pStyle w:val="Heading2"/>
      </w:pPr>
      <w:bookmarkStart w:id="22" w:name="_Toc390823898"/>
      <w:bookmarkStart w:id="23" w:name="_Toc391429590"/>
      <w:bookmarkStart w:id="24" w:name="_Toc396097028"/>
      <w:bookmarkStart w:id="25" w:name="_Toc398800658"/>
      <w:r w:rsidRPr="00167158">
        <w:t>Electrical Ducting (‘E’)</w:t>
      </w:r>
      <w:bookmarkEnd w:id="22"/>
      <w:bookmarkEnd w:id="23"/>
      <w:bookmarkEnd w:id="24"/>
      <w:bookmarkEnd w:id="25"/>
    </w:p>
    <w:p w:rsidR="006F2F50" w:rsidRPr="0050325E" w:rsidRDefault="006F2F50" w:rsidP="00167158">
      <w:r w:rsidRPr="0050325E">
        <w:t>Ducting conduit shall be heavy duty uPVC coloured light orange and solvent cement jointed.</w:t>
      </w:r>
    </w:p>
    <w:p w:rsidR="006F2F50" w:rsidRPr="0050325E" w:rsidRDefault="006F2F50" w:rsidP="00167158">
      <w:r w:rsidRPr="0050325E">
        <w:t>Lay a copper earth strap (3 mm x 25 mm) in a continuous strip along the bottom of each trench.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when used in conjunction with the TRAFFIC CONTROL SIGNALS Section]</w:t>
      </w:r>
    </w:p>
    <w:p w:rsidR="006F2F50" w:rsidRPr="00FD17A9" w:rsidRDefault="006F2F50" w:rsidP="00167158">
      <w:r w:rsidRPr="0050325E">
        <w:t>Supply and install orange PVC cable marker tape over the ducts as specified.</w:t>
      </w:r>
      <w:r w:rsidR="00FD17A9">
        <w:t xml:space="preserve"> Refer to </w:t>
      </w:r>
      <w:r w:rsidR="00FD17A9">
        <w:rPr>
          <w:b/>
        </w:rPr>
        <w:t>Cable Installation</w:t>
      </w:r>
      <w:r w:rsidR="00FD17A9">
        <w:t xml:space="preserve"> and </w:t>
      </w:r>
      <w:r w:rsidR="00FD17A9">
        <w:rPr>
          <w:b/>
        </w:rPr>
        <w:t>Cable Marker Tapes</w:t>
      </w:r>
      <w:r w:rsidR="00FD17A9">
        <w:t xml:space="preserve"> in STREET LIGHTING.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[Ensure that the documents show the marker tape]</w:t>
      </w:r>
    </w:p>
    <w:p w:rsidR="006F2F50" w:rsidRPr="0050325E" w:rsidRDefault="006F2F50" w:rsidP="00167158">
      <w:r w:rsidRPr="0050325E">
        <w:t>Liais</w:t>
      </w:r>
      <w:r w:rsidR="00D80360">
        <w:t>e with PowerWater Corporation</w:t>
      </w:r>
      <w:r w:rsidRPr="0050325E">
        <w:t xml:space="preserve"> regarding the installation of the ducts.</w:t>
      </w:r>
    </w:p>
    <w:p w:rsidR="006F2F50" w:rsidRPr="00167158" w:rsidRDefault="006F2F50" w:rsidP="00167158">
      <w:pPr>
        <w:pStyle w:val="Heading2"/>
      </w:pPr>
      <w:bookmarkStart w:id="26" w:name="_Toc390823899"/>
      <w:bookmarkStart w:id="27" w:name="_Toc391429591"/>
      <w:bookmarkStart w:id="28" w:name="_Toc396097029"/>
      <w:bookmarkStart w:id="29" w:name="_Toc398800659"/>
      <w:r w:rsidRPr="00167158">
        <w:t>Water Ducting (‘W’)</w:t>
      </w:r>
      <w:bookmarkEnd w:id="26"/>
      <w:bookmarkEnd w:id="27"/>
      <w:bookmarkEnd w:id="28"/>
      <w:bookmarkEnd w:id="29"/>
    </w:p>
    <w:p w:rsidR="006F2F50" w:rsidRPr="0050325E" w:rsidRDefault="006F2F50" w:rsidP="00167158">
      <w:r w:rsidRPr="0050325E">
        <w:t xml:space="preserve">Ducting conduit to be heavy duty PVC, 100 mm diameter, </w:t>
      </w:r>
      <w:proofErr w:type="gramStart"/>
      <w:r w:rsidRPr="0050325E">
        <w:t>coloured</w:t>
      </w:r>
      <w:proofErr w:type="gramEnd"/>
      <w:r w:rsidRPr="0050325E">
        <w:t xml:space="preserve"> white and solvent cement jointed.</w:t>
      </w:r>
    </w:p>
    <w:p w:rsidR="007662B6" w:rsidRDefault="007662B6" w:rsidP="00167158">
      <w:r>
        <w:t>Use uPVC class 9</w:t>
      </w:r>
    </w:p>
    <w:p w:rsidR="006F2F50" w:rsidRPr="0050325E" w:rsidRDefault="006F2F50" w:rsidP="00167158">
      <w:r w:rsidRPr="0050325E">
        <w:t>Lay conduits two to a trench opposite each alternate lot boundary.</w:t>
      </w:r>
    </w:p>
    <w:p w:rsidR="006F2F50" w:rsidRPr="0050325E" w:rsidRDefault="006F2F50" w:rsidP="00167158">
      <w:r w:rsidRPr="0050325E">
        <w:t>Service each lot by a separate conduit.</w:t>
      </w:r>
    </w:p>
    <w:p w:rsidR="006F2F50" w:rsidRPr="0050325E" w:rsidRDefault="006F2F50" w:rsidP="00167158">
      <w:r w:rsidRPr="0050325E">
        <w:t>Liais</w:t>
      </w:r>
      <w:r w:rsidR="00D80360">
        <w:t>e with PowerWater Corporation</w:t>
      </w:r>
      <w:r w:rsidRPr="0050325E">
        <w:t xml:space="preserve"> regarding the installation of the ducts.</w:t>
      </w:r>
    </w:p>
    <w:p w:rsidR="006F2F50" w:rsidRPr="00167158" w:rsidRDefault="006F2F50" w:rsidP="00167158">
      <w:pPr>
        <w:pStyle w:val="Heading2"/>
      </w:pPr>
      <w:bookmarkStart w:id="30" w:name="_Toc390823900"/>
      <w:bookmarkStart w:id="31" w:name="_Toc391429592"/>
      <w:bookmarkStart w:id="32" w:name="_Toc396097030"/>
      <w:bookmarkStart w:id="33" w:name="_Toc398800660"/>
      <w:r w:rsidRPr="00167158">
        <w:t>Telstra Ducting (‘T’)</w:t>
      </w:r>
      <w:bookmarkEnd w:id="30"/>
      <w:bookmarkEnd w:id="31"/>
      <w:bookmarkEnd w:id="32"/>
      <w:bookmarkEnd w:id="33"/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[Show location of Telstra ducts on the drawings]</w:t>
      </w:r>
    </w:p>
    <w:p w:rsidR="006F2F50" w:rsidRPr="0050325E" w:rsidRDefault="006F2F50" w:rsidP="00167158">
      <w:r w:rsidRPr="0050325E">
        <w:t>Telstra Australia will excavate</w:t>
      </w:r>
      <w:r w:rsidR="00893375">
        <w:t xml:space="preserve"> for</w:t>
      </w:r>
      <w:r w:rsidRPr="0050325E">
        <w:t xml:space="preserve">, supply, install and backfill </w:t>
      </w:r>
      <w:r w:rsidR="00893375">
        <w:t xml:space="preserve">over </w:t>
      </w:r>
      <w:r w:rsidRPr="0050325E">
        <w:t>all Telstra ducting.</w:t>
      </w:r>
    </w:p>
    <w:p w:rsidR="006F2F50" w:rsidRPr="0050325E" w:rsidRDefault="006F2F50" w:rsidP="00167158">
      <w:r w:rsidRPr="0050325E">
        <w:t>Liaise with Telstra and give minimum 14 days notice prior to the need for ducting to be installed.</w:t>
      </w:r>
    </w:p>
    <w:p w:rsidR="006F2F50" w:rsidRDefault="006F2F50" w:rsidP="00167158">
      <w:r w:rsidRPr="0050325E">
        <w:t>The locations of Telstra ducts are shown on the drawings or will be indicated by Telstra personnel.</w:t>
      </w:r>
    </w:p>
    <w:sectPr w:rsidR="006F2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814" w:rsidRDefault="00903814">
      <w:r>
        <w:separator/>
      </w:r>
    </w:p>
  </w:endnote>
  <w:endnote w:type="continuationSeparator" w:id="0">
    <w:p w:rsidR="00903814" w:rsidRDefault="00903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58" w:rsidRDefault="00167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58" w:rsidRPr="00E33FEF" w:rsidRDefault="00167158" w:rsidP="00E33FEF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58" w:rsidRDefault="00167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814" w:rsidRDefault="00903814">
      <w:r>
        <w:separator/>
      </w:r>
    </w:p>
  </w:footnote>
  <w:footnote w:type="continuationSeparator" w:id="0">
    <w:p w:rsidR="00903814" w:rsidRDefault="00903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F50" w:rsidRDefault="006F2F50">
    <w:pPr>
      <w:pStyle w:val="Header"/>
      <w:pBdr>
        <w:bottom w:val="single" w:sz="4" w:space="1" w:color="auto"/>
      </w:pBdr>
      <w:spacing w:after="120"/>
    </w:pPr>
    <w:r>
      <w:t>DUCTING AND CONDUITS</w:t>
    </w:r>
    <w:r>
      <w:rPr>
        <w:rStyle w:val="masterspecversion"/>
      </w:rPr>
      <w:t>&lt;&lt;DIPE Roadworks Master – Dec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F50" w:rsidRPr="00E33FEF" w:rsidRDefault="006F2F50" w:rsidP="00E33FEF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58" w:rsidRDefault="00167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965B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4C64006"/>
    <w:lvl w:ilvl="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1132FCAC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6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</w:num>
  <w:num w:numId="2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</w:num>
  <w:num w:numId="10">
    <w:abstractNumId w:val="4"/>
  </w:num>
  <w:num w:numId="11">
    <w:abstractNumId w:val="4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6"/>
  </w:num>
  <w:num w:numId="21">
    <w:abstractNumId w:val="7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E74ECFE683DF495EB45A518E3FD71455"/>
    <w:docVar w:name="adVersion" w:val="7.1"/>
  </w:docVars>
  <w:rsids>
    <w:rsidRoot w:val="0050325E"/>
    <w:rsid w:val="0004201B"/>
    <w:rsid w:val="00073F3B"/>
    <w:rsid w:val="000D6B2B"/>
    <w:rsid w:val="000D76A6"/>
    <w:rsid w:val="000F355E"/>
    <w:rsid w:val="00167158"/>
    <w:rsid w:val="001E20AF"/>
    <w:rsid w:val="002071DE"/>
    <w:rsid w:val="00212C88"/>
    <w:rsid w:val="00353880"/>
    <w:rsid w:val="003C2E17"/>
    <w:rsid w:val="003E51B0"/>
    <w:rsid w:val="00416202"/>
    <w:rsid w:val="0043745C"/>
    <w:rsid w:val="004B4543"/>
    <w:rsid w:val="004D339E"/>
    <w:rsid w:val="0050325E"/>
    <w:rsid w:val="0050558E"/>
    <w:rsid w:val="0054634F"/>
    <w:rsid w:val="005B5A2E"/>
    <w:rsid w:val="005F5FB7"/>
    <w:rsid w:val="00645211"/>
    <w:rsid w:val="006A6CDB"/>
    <w:rsid w:val="006F2F50"/>
    <w:rsid w:val="007662B6"/>
    <w:rsid w:val="007754E0"/>
    <w:rsid w:val="0078196E"/>
    <w:rsid w:val="007B77FF"/>
    <w:rsid w:val="007E02C9"/>
    <w:rsid w:val="007F60A0"/>
    <w:rsid w:val="008266F7"/>
    <w:rsid w:val="008775F2"/>
    <w:rsid w:val="00893375"/>
    <w:rsid w:val="008A5C8C"/>
    <w:rsid w:val="008C07D8"/>
    <w:rsid w:val="008C6C79"/>
    <w:rsid w:val="008C7642"/>
    <w:rsid w:val="009022B4"/>
    <w:rsid w:val="00903814"/>
    <w:rsid w:val="00913D6A"/>
    <w:rsid w:val="00AF1891"/>
    <w:rsid w:val="00B93F40"/>
    <w:rsid w:val="00BE1FF9"/>
    <w:rsid w:val="00C25FE7"/>
    <w:rsid w:val="00C63C24"/>
    <w:rsid w:val="00D129C9"/>
    <w:rsid w:val="00D80360"/>
    <w:rsid w:val="00DC0B36"/>
    <w:rsid w:val="00DD597E"/>
    <w:rsid w:val="00E33FEF"/>
    <w:rsid w:val="00E77D9E"/>
    <w:rsid w:val="00E9543C"/>
    <w:rsid w:val="00FC40E0"/>
    <w:rsid w:val="00FD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8954AAF-3604-4E3E-B72F-5E652831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211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E33FEF"/>
    <w:pPr>
      <w:numPr>
        <w:numId w:val="23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45211"/>
    <w:pPr>
      <w:numPr>
        <w:ilvl w:val="1"/>
        <w:numId w:val="23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645211"/>
    <w:pPr>
      <w:numPr>
        <w:ilvl w:val="2"/>
        <w:numId w:val="23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45211"/>
    <w:pPr>
      <w:numPr>
        <w:ilvl w:val="3"/>
        <w:numId w:val="23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45211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45211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45211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45211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45211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645211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Footer">
    <w:name w:val="footer"/>
    <w:basedOn w:val="Normal"/>
    <w:next w:val="Normal"/>
    <w:link w:val="FooterChar"/>
    <w:uiPriority w:val="99"/>
    <w:unhideWhenUsed/>
    <w:rsid w:val="00645211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BodyText">
    <w:name w:val="Body Text"/>
    <w:basedOn w:val="Normal"/>
    <w:pPr>
      <w:spacing w:after="120"/>
    </w:p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customStyle="1" w:styleId="IndentBH">
    <w:name w:val="IndentB_H"/>
    <w:basedOn w:val="Normal"/>
    <w:pPr>
      <w:numPr>
        <w:numId w:val="8"/>
      </w:numPr>
      <w:spacing w:before="60" w:after="60"/>
      <w:ind w:left="720" w:hanging="720"/>
      <w:jc w:val="both"/>
    </w:pPr>
    <w:rPr>
      <w:lang w:val="en-US"/>
    </w:rPr>
  </w:style>
  <w:style w:type="paragraph" w:styleId="ListBullet">
    <w:name w:val="List Bullet"/>
    <w:basedOn w:val="Normal"/>
    <w:autoRedefine/>
    <w:pPr>
      <w:numPr>
        <w:numId w:val="9"/>
      </w:numPr>
    </w:pPr>
  </w:style>
  <w:style w:type="paragraph" w:customStyle="1" w:styleId="BodyText0">
    <w:name w:val="BodyText"/>
    <w:basedOn w:val="Normal"/>
    <w:pPr>
      <w:spacing w:before="60" w:after="60"/>
      <w:jc w:val="both"/>
    </w:pPr>
    <w:rPr>
      <w:lang w:val="en-US"/>
    </w:rPr>
  </w:style>
  <w:style w:type="paragraph" w:customStyle="1" w:styleId="BoldLowercase">
    <w:name w:val="Bold Lowercase"/>
    <w:basedOn w:val="Normal"/>
    <w:pPr>
      <w:spacing w:before="20" w:after="20"/>
    </w:pPr>
    <w:rPr>
      <w:b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eGrid">
    <w:name w:val="Table Grid"/>
    <w:basedOn w:val="TableNormal"/>
    <w:uiPriority w:val="59"/>
    <w:rsid w:val="00645211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5F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 w:eastAsia="en-AU"/>
    </w:rPr>
  </w:style>
  <w:style w:type="paragraph" w:customStyle="1" w:styleId="AgencyName">
    <w:name w:val="AgencyName"/>
    <w:basedOn w:val="Normal"/>
    <w:link w:val="AgencyNameChar"/>
    <w:rsid w:val="00645211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645211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645211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645211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E33FEF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645211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645211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645211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645211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645211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645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45211"/>
    <w:rPr>
      <w:rFonts w:ascii="Tahoma" w:hAnsi="Tahoma" w:cs="Tahoma"/>
      <w:sz w:val="16"/>
      <w:szCs w:val="16"/>
      <w:lang w:val="en-AU" w:eastAsia="en-AU"/>
    </w:rPr>
  </w:style>
  <w:style w:type="paragraph" w:styleId="BlockText">
    <w:name w:val="Block Text"/>
    <w:basedOn w:val="Normal"/>
    <w:unhideWhenUsed/>
    <w:rsid w:val="00645211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645211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167158"/>
    <w:pPr>
      <w:numPr>
        <w:numId w:val="12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167158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6452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5211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5211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45211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45211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645211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645211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645211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645211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645211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645211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645211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45211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64521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645211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45211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645211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645211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645211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45211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645211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645211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645211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645211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645211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645211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645211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645211"/>
    <w:pPr>
      <w:widowControl w:val="0"/>
      <w:numPr>
        <w:ilvl w:val="1"/>
        <w:numId w:val="20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645211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645211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645211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645211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645211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645211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645211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45211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645211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645211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645211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645211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645211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645211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645211"/>
    <w:pPr>
      <w:numPr>
        <w:numId w:val="21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645211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645211"/>
  </w:style>
  <w:style w:type="character" w:styleId="PlaceholderText">
    <w:name w:val="Placeholder Text"/>
    <w:basedOn w:val="DefaultParagraphFont"/>
    <w:uiPriority w:val="99"/>
    <w:semiHidden/>
    <w:rsid w:val="00645211"/>
    <w:rPr>
      <w:color w:val="808080"/>
    </w:rPr>
  </w:style>
  <w:style w:type="paragraph" w:customStyle="1" w:styleId="Reporttitle">
    <w:name w:val="Report title"/>
    <w:uiPriority w:val="99"/>
    <w:rsid w:val="00645211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645211"/>
    <w:pPr>
      <w:numPr>
        <w:numId w:val="22"/>
      </w:numPr>
    </w:pPr>
  </w:style>
  <w:style w:type="paragraph" w:customStyle="1" w:styleId="SubTitle">
    <w:name w:val="Sub Title"/>
    <w:basedOn w:val="Normal"/>
    <w:autoRedefine/>
    <w:semiHidden/>
    <w:rsid w:val="00645211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645211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645211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645211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645211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45211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45211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45211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645211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645211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5211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645211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port.nt.gov.au/infrastructure/technical-standards-guidelines-and-specifications/materials-testing-manua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D3E4E-0D4D-418C-861C-FE006BA41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14</vt:lpstr>
    </vt:vector>
  </TitlesOfParts>
  <Company>Transport and Works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e9f</dc:creator>
  <cp:lastModifiedBy>Robert Haakmeester</cp:lastModifiedBy>
  <cp:revision>6</cp:revision>
  <cp:lastPrinted>2018-07-31T05:01:00Z</cp:lastPrinted>
  <dcterms:created xsi:type="dcterms:W3CDTF">2018-07-31T05:02:00Z</dcterms:created>
  <dcterms:modified xsi:type="dcterms:W3CDTF">2019-05-03T00:28:00Z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304D72C427E1405B852A090901D3C1B3</vt:lpwstr>
  </property>
  <property fmtid="{D5CDD505-2E9C-101B-9397-08002B2CF9AE}" pid="4" name="ade_ContentType">
    <vt:lpwstr>2</vt:lpwstr>
  </property>
</Properties>
</file>