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CC2DA" w14:textId="77777777" w:rsidR="007363D1" w:rsidRDefault="007363D1" w:rsidP="000C6CD3">
      <w:pPr>
        <w:pStyle w:val="Heading1"/>
      </w:pPr>
      <w:bookmarkStart w:id="0" w:name="_Toc390823706"/>
      <w:bookmarkStart w:id="1" w:name="_Toc391429398"/>
      <w:bookmarkStart w:id="2" w:name="_Toc391438546"/>
      <w:bookmarkStart w:id="3" w:name="_Toc396035076"/>
      <w:bookmarkStart w:id="4" w:name="_Toc398800467"/>
      <w:bookmarkStart w:id="5" w:name="_Toc487457698"/>
      <w:r w:rsidRPr="00797D15">
        <w:t>Drainage Works</w:t>
      </w:r>
      <w:bookmarkEnd w:id="0"/>
      <w:bookmarkEnd w:id="1"/>
      <w:bookmarkEnd w:id="2"/>
      <w:bookmarkEnd w:id="3"/>
      <w:bookmarkEnd w:id="4"/>
      <w:bookmarkEnd w:id="5"/>
    </w:p>
    <w:p w14:paraId="180BF2F9" w14:textId="1CE8C00F" w:rsidR="0012299A" w:rsidRPr="0012299A" w:rsidRDefault="00227970" w:rsidP="00E224D9">
      <w:r>
        <w:t xml:space="preserve">DIPL Roadworks Master - </w:t>
      </w:r>
      <w:r w:rsidR="00D616BC">
        <w:t>October</w:t>
      </w:r>
      <w:r w:rsidR="00DE073C">
        <w:t xml:space="preserve"> </w:t>
      </w:r>
      <w:r w:rsidR="0012299A">
        <w:t>201</w:t>
      </w:r>
      <w:r w:rsidR="00DE073C">
        <w:t>9</w:t>
      </w:r>
    </w:p>
    <w:p w14:paraId="1D7502C4" w14:textId="26F05C7C" w:rsidR="007363D1" w:rsidRPr="00797D15" w:rsidRDefault="007363D1" w:rsidP="007363D1">
      <w:pPr>
        <w:pStyle w:val="Heading2"/>
        <w:keepNext/>
        <w:widowControl/>
        <w:numPr>
          <w:ilvl w:val="1"/>
          <w:numId w:val="14"/>
        </w:numPr>
        <w:ind w:left="720" w:hanging="720"/>
      </w:pPr>
      <w:bookmarkStart w:id="6" w:name="_Toc390823707"/>
      <w:bookmarkStart w:id="7" w:name="_Toc391429399"/>
      <w:bookmarkStart w:id="8" w:name="_Toc396035077"/>
      <w:bookmarkStart w:id="9" w:name="_Toc398800468"/>
      <w:r w:rsidRPr="00797D15">
        <w:t>Standards</w:t>
      </w:r>
      <w:bookmarkEnd w:id="6"/>
      <w:bookmarkEnd w:id="7"/>
      <w:bookmarkEnd w:id="8"/>
      <w:bookmarkEnd w:id="9"/>
      <w:r w:rsidR="002D6BEE">
        <w:t xml:space="preserve"> and Publications</w:t>
      </w:r>
    </w:p>
    <w:p w14:paraId="2CF7D78C" w14:textId="77777777" w:rsidR="007363D1" w:rsidRPr="00A84251" w:rsidRDefault="007363D1" w:rsidP="007363D1">
      <w:r w:rsidRPr="00A84251">
        <w:t>Conform to the following Standards and Publications unless specified otherwise:</w:t>
      </w:r>
    </w:p>
    <w:p w14:paraId="3B14CE22" w14:textId="793D9517" w:rsidR="007363D1" w:rsidRPr="00A84251" w:rsidRDefault="007363D1" w:rsidP="007363D1">
      <w:r>
        <w:t>AS 1012(set)</w:t>
      </w:r>
      <w:r>
        <w:tab/>
      </w:r>
      <w:r w:rsidR="00B16191">
        <w:tab/>
      </w:r>
      <w:r>
        <w:t>Methods of testing c</w:t>
      </w:r>
      <w:r w:rsidRPr="00A84251">
        <w:t>oncrete.</w:t>
      </w:r>
    </w:p>
    <w:p w14:paraId="2834B1A4" w14:textId="782D3455" w:rsidR="007363D1" w:rsidRPr="00A84251" w:rsidRDefault="007363D1" w:rsidP="007363D1">
      <w:r>
        <w:t>AS </w:t>
      </w:r>
      <w:r w:rsidRPr="00A84251">
        <w:t>1141</w:t>
      </w:r>
      <w:r>
        <w:t>(set)</w:t>
      </w:r>
      <w:r w:rsidRPr="00A84251">
        <w:tab/>
      </w:r>
      <w:r w:rsidR="00B16191">
        <w:tab/>
      </w:r>
      <w:r w:rsidRPr="00A84251">
        <w:t>Me</w:t>
      </w:r>
      <w:r>
        <w:t>thods for sampling and testing a</w:t>
      </w:r>
      <w:r w:rsidRPr="00A84251">
        <w:t>ggregates.</w:t>
      </w:r>
    </w:p>
    <w:p w14:paraId="088F9867" w14:textId="7D065D10" w:rsidR="007363D1" w:rsidRPr="00A84251" w:rsidRDefault="007363D1" w:rsidP="007363D1">
      <w:r>
        <w:t>AS </w:t>
      </w:r>
      <w:r w:rsidRPr="00A84251">
        <w:t>1289</w:t>
      </w:r>
      <w:r>
        <w:t>(set)</w:t>
      </w:r>
      <w:r w:rsidRPr="00A84251">
        <w:tab/>
      </w:r>
      <w:r w:rsidR="00B16191">
        <w:tab/>
      </w:r>
      <w:r w:rsidRPr="00A84251">
        <w:t>Methods o</w:t>
      </w:r>
      <w:r>
        <w:t>f testing soil for engineering p</w:t>
      </w:r>
      <w:r w:rsidRPr="00A84251">
        <w:t>urposes.</w:t>
      </w:r>
    </w:p>
    <w:p w14:paraId="506ED2C7" w14:textId="77777777" w:rsidR="00C16BE0" w:rsidRDefault="00C16BE0" w:rsidP="007363D1">
      <w:r>
        <w:t>AS 1348</w:t>
      </w:r>
      <w:r>
        <w:tab/>
        <w:t>Road and traffic engineering – Glossary of terms</w:t>
      </w:r>
    </w:p>
    <w:p w14:paraId="07D66743" w14:textId="4698EA71" w:rsidR="007363D1" w:rsidRPr="00A84251" w:rsidRDefault="007363D1" w:rsidP="007363D1">
      <w:r>
        <w:t>AS </w:t>
      </w:r>
      <w:r w:rsidRPr="00A84251">
        <w:t>13</w:t>
      </w:r>
      <w:r>
        <w:t>79</w:t>
      </w:r>
      <w:r>
        <w:tab/>
        <w:t>Specification and supply of c</w:t>
      </w:r>
      <w:r w:rsidRPr="00A84251">
        <w:t>oncrete.</w:t>
      </w:r>
    </w:p>
    <w:p w14:paraId="47441F86" w14:textId="77777777" w:rsidR="007363D1" w:rsidRPr="00A84251" w:rsidRDefault="007363D1" w:rsidP="007363D1">
      <w:r w:rsidRPr="00A84251">
        <w:t>A</w:t>
      </w:r>
      <w:r>
        <w:t>S 1478.1</w:t>
      </w:r>
      <w:r>
        <w:tab/>
        <w:t>Chemical admixtures for c</w:t>
      </w:r>
      <w:r w:rsidRPr="00A84251">
        <w:t>oncrete.</w:t>
      </w:r>
    </w:p>
    <w:p w14:paraId="1B7A3BA3" w14:textId="078B108B" w:rsidR="007363D1" w:rsidRDefault="007363D1" w:rsidP="007363D1">
      <w:r>
        <w:t>AS </w:t>
      </w:r>
      <w:r w:rsidRPr="00A84251">
        <w:t>1597</w:t>
      </w:r>
      <w:r>
        <w:t>(set)</w:t>
      </w:r>
      <w:r w:rsidRPr="00A84251">
        <w:tab/>
      </w:r>
      <w:r w:rsidR="00B16191">
        <w:tab/>
      </w:r>
      <w:proofErr w:type="gramStart"/>
      <w:r w:rsidRPr="00A84251">
        <w:t>P</w:t>
      </w:r>
      <w:r>
        <w:t>recast</w:t>
      </w:r>
      <w:proofErr w:type="gramEnd"/>
      <w:r>
        <w:t xml:space="preserve"> reinforced concrete box c</w:t>
      </w:r>
      <w:r w:rsidRPr="00A84251">
        <w:t>ulverts.</w:t>
      </w:r>
    </w:p>
    <w:p w14:paraId="62A9AAF2" w14:textId="4DF1ACD5" w:rsidR="00B16191" w:rsidRDefault="00B16191" w:rsidP="007363D1">
      <w:r>
        <w:tab/>
        <w:t>AS 1597.1</w:t>
      </w:r>
      <w:r>
        <w:tab/>
        <w:t>– Small culverts (not exceeding 1200 mm span and 1200 mm height)</w:t>
      </w:r>
    </w:p>
    <w:p w14:paraId="51B1768A" w14:textId="0AA851B8" w:rsidR="007363D1" w:rsidRPr="00A84251" w:rsidRDefault="00B16191" w:rsidP="007363D1">
      <w:r>
        <w:tab/>
        <w:t>AS 1597.2</w:t>
      </w:r>
      <w:r>
        <w:tab/>
        <w:t>– Large culverts (exceeding 1200 mm span or 1200 mm height and up to and including 4200 mm span and 4200 mm height)</w:t>
      </w:r>
    </w:p>
    <w:p w14:paraId="10C5C0BA" w14:textId="4C94CF48" w:rsidR="00B16191" w:rsidRDefault="007363D1" w:rsidP="007363D1">
      <w:r>
        <w:t>AS 2350</w:t>
      </w:r>
      <w:r w:rsidR="00B16191">
        <w:t>.0</w:t>
      </w:r>
      <w:r>
        <w:tab/>
        <w:t xml:space="preserve">Methods of testing </w:t>
      </w:r>
      <w:proofErr w:type="gramStart"/>
      <w:r>
        <w:t>p</w:t>
      </w:r>
      <w:r w:rsidRPr="00A84251">
        <w:t>ortland</w:t>
      </w:r>
      <w:proofErr w:type="gramEnd"/>
      <w:r>
        <w:t xml:space="preserve"> and blended c</w:t>
      </w:r>
      <w:r w:rsidRPr="00A84251">
        <w:t>ements</w:t>
      </w:r>
      <w:r w:rsidR="00B16191">
        <w:t xml:space="preserve"> - General introduction and list of methods</w:t>
      </w:r>
      <w:r w:rsidRPr="00A84251">
        <w:t>.</w:t>
      </w:r>
    </w:p>
    <w:p w14:paraId="4416FC62" w14:textId="01EDF76F" w:rsidR="00B16191" w:rsidRPr="00A84251" w:rsidRDefault="00B16191" w:rsidP="007363D1">
      <w:r>
        <w:t>AS/NZS 2350.1</w:t>
      </w:r>
      <w:r>
        <w:tab/>
      </w:r>
      <w:r w:rsidRPr="005D6F1F">
        <w:t xml:space="preserve">Methods of testing </w:t>
      </w:r>
      <w:proofErr w:type="gramStart"/>
      <w:r w:rsidRPr="005D6F1F">
        <w:t>portla</w:t>
      </w:r>
      <w:r>
        <w:t>nd</w:t>
      </w:r>
      <w:proofErr w:type="gramEnd"/>
      <w:r>
        <w:t>,</w:t>
      </w:r>
      <w:r w:rsidRPr="005D6F1F">
        <w:t xml:space="preserve"> blended</w:t>
      </w:r>
      <w:r>
        <w:t xml:space="preserve"> and masonry</w:t>
      </w:r>
      <w:r w:rsidRPr="005D6F1F">
        <w:t xml:space="preserve"> cements – Sampling</w:t>
      </w:r>
    </w:p>
    <w:p w14:paraId="22F4D219" w14:textId="40D6287E" w:rsidR="007363D1" w:rsidRPr="00A84251" w:rsidRDefault="007363D1" w:rsidP="007363D1">
      <w:r>
        <w:t>AS 2439</w:t>
      </w:r>
      <w:r w:rsidR="00B16191">
        <w:t>.1</w:t>
      </w:r>
      <w:r>
        <w:tab/>
        <w:t>Perforated p</w:t>
      </w:r>
      <w:r w:rsidRPr="00A84251">
        <w:t xml:space="preserve">lastics </w:t>
      </w:r>
      <w:r>
        <w:t>drainage and effluent pipe and f</w:t>
      </w:r>
      <w:r w:rsidRPr="00A84251">
        <w:t>ittings</w:t>
      </w:r>
      <w:r w:rsidR="00B16191" w:rsidRPr="000E530E">
        <w:t xml:space="preserve"> - Perforated drainage pipe and associated fittings</w:t>
      </w:r>
      <w:r w:rsidRPr="00A84251">
        <w:t>.</w:t>
      </w:r>
    </w:p>
    <w:p w14:paraId="252CC181" w14:textId="77777777" w:rsidR="007363D1" w:rsidRPr="00A84251" w:rsidRDefault="007363D1" w:rsidP="007363D1">
      <w:r>
        <w:t>AS </w:t>
      </w:r>
      <w:r w:rsidRPr="00A84251">
        <w:t>2758.1</w:t>
      </w:r>
      <w:r w:rsidRPr="00A84251">
        <w:tab/>
        <w:t>Aggregates</w:t>
      </w:r>
      <w:r>
        <w:t xml:space="preserve"> and rock for engineering purposes - Concrete a</w:t>
      </w:r>
      <w:r w:rsidRPr="00A84251">
        <w:t>ggregates.</w:t>
      </w:r>
    </w:p>
    <w:p w14:paraId="41084316" w14:textId="77777777" w:rsidR="007363D1" w:rsidRPr="00A84251" w:rsidRDefault="007363D1" w:rsidP="007363D1">
      <w:r>
        <w:t>AS 3600</w:t>
      </w:r>
      <w:r>
        <w:tab/>
        <w:t>Concrete s</w:t>
      </w:r>
      <w:r w:rsidRPr="00A84251">
        <w:t>tructures.</w:t>
      </w:r>
    </w:p>
    <w:p w14:paraId="750278EF" w14:textId="0A45FB95" w:rsidR="007363D1" w:rsidRPr="00A84251" w:rsidRDefault="007363D1" w:rsidP="007363D1">
      <w:r>
        <w:t>AS 3610</w:t>
      </w:r>
      <w:r w:rsidR="00B16191">
        <w:t>.1</w:t>
      </w:r>
      <w:r>
        <w:tab/>
        <w:t>Formwork for c</w:t>
      </w:r>
      <w:r w:rsidRPr="00A84251">
        <w:t>oncrete</w:t>
      </w:r>
      <w:r w:rsidR="00B16191">
        <w:t xml:space="preserve"> - Specifications</w:t>
      </w:r>
      <w:r w:rsidRPr="00A84251">
        <w:t>.</w:t>
      </w:r>
    </w:p>
    <w:p w14:paraId="7AE64FC6" w14:textId="7AF0B3FD" w:rsidR="007363D1" w:rsidRPr="00A84251" w:rsidRDefault="007363D1" w:rsidP="007363D1">
      <w:r w:rsidRPr="00A84251">
        <w:t>AS</w:t>
      </w:r>
      <w:r>
        <w:t> 3706(set)</w:t>
      </w:r>
      <w:r>
        <w:tab/>
      </w:r>
      <w:r w:rsidR="00B16191">
        <w:tab/>
      </w:r>
      <w:r>
        <w:t>Geotextiles - Methods of t</w:t>
      </w:r>
      <w:r w:rsidRPr="00A84251">
        <w:t>est.</w:t>
      </w:r>
    </w:p>
    <w:p w14:paraId="708F4EF2" w14:textId="173614FE" w:rsidR="007363D1" w:rsidRPr="00A84251" w:rsidRDefault="007363D1" w:rsidP="007363D1">
      <w:r w:rsidRPr="00A84251">
        <w:t>AS</w:t>
      </w:r>
      <w:r w:rsidR="00B16191">
        <w:t>/NZS</w:t>
      </w:r>
      <w:r>
        <w:t> 3725</w:t>
      </w:r>
      <w:r>
        <w:tab/>
      </w:r>
      <w:r w:rsidR="00B16191">
        <w:tab/>
        <w:t>Design for installation of</w:t>
      </w:r>
      <w:r>
        <w:t xml:space="preserve"> buried concrete p</w:t>
      </w:r>
      <w:r w:rsidRPr="00A84251">
        <w:t>ipes.</w:t>
      </w:r>
    </w:p>
    <w:p w14:paraId="44D48908" w14:textId="4F1142D5" w:rsidR="007363D1" w:rsidRPr="00A84251" w:rsidRDefault="007363D1" w:rsidP="007363D1">
      <w:r>
        <w:t>AS </w:t>
      </w:r>
      <w:r w:rsidR="00B16191">
        <w:t>3972</w:t>
      </w:r>
      <w:r w:rsidR="00B16191">
        <w:tab/>
        <w:t>General purpose</w:t>
      </w:r>
      <w:r>
        <w:t xml:space="preserve"> and blended c</w:t>
      </w:r>
      <w:r w:rsidRPr="00A84251">
        <w:t>ements.</w:t>
      </w:r>
    </w:p>
    <w:p w14:paraId="2899E022" w14:textId="53DA126C" w:rsidR="007363D1" w:rsidRPr="00A84251" w:rsidRDefault="007363D1" w:rsidP="007363D1">
      <w:r>
        <w:t>AS</w:t>
      </w:r>
      <w:r w:rsidR="00B16191">
        <w:t>/NZS</w:t>
      </w:r>
      <w:r>
        <w:t> 4058</w:t>
      </w:r>
      <w:r>
        <w:tab/>
      </w:r>
      <w:r w:rsidR="00B16191">
        <w:tab/>
      </w:r>
      <w:r>
        <w:t>Precast c</w:t>
      </w:r>
      <w:r w:rsidRPr="00A84251">
        <w:t>oncr</w:t>
      </w:r>
      <w:r>
        <w:t>ete p</w:t>
      </w:r>
      <w:r w:rsidRPr="00A84251">
        <w:t>ipes (pressure and non</w:t>
      </w:r>
      <w:r w:rsidRPr="00A84251">
        <w:noBreakHyphen/>
        <w:t>pressure).</w:t>
      </w:r>
    </w:p>
    <w:p w14:paraId="3238453B" w14:textId="700193AC" w:rsidR="007363D1" w:rsidRDefault="007363D1" w:rsidP="007363D1">
      <w:r>
        <w:t>AS/NZS 4671</w:t>
      </w:r>
      <w:r>
        <w:tab/>
      </w:r>
      <w:r w:rsidR="00B16191">
        <w:tab/>
      </w:r>
      <w:r>
        <w:t>Steel reinforcing m</w:t>
      </w:r>
      <w:r w:rsidRPr="00A84251">
        <w:t>aterials</w:t>
      </w:r>
    </w:p>
    <w:p w14:paraId="33C4A9D9" w14:textId="77777777" w:rsidR="007363D1" w:rsidRPr="00A84251" w:rsidRDefault="007363D1" w:rsidP="007363D1">
      <w:r>
        <w:t>AS 5100.5</w:t>
      </w:r>
      <w:r>
        <w:tab/>
        <w:t>Bridge Design - Concrete</w:t>
      </w:r>
    </w:p>
    <w:p w14:paraId="1AB4B344" w14:textId="77777777" w:rsidR="007363D1" w:rsidRPr="00A84251" w:rsidRDefault="007363D1" w:rsidP="007363D1">
      <w:pPr>
        <w:pStyle w:val="ASList"/>
        <w:ind w:left="0" w:firstLine="0"/>
      </w:pPr>
    </w:p>
    <w:p w14:paraId="214DEB7B" w14:textId="354FCA7C" w:rsidR="007363D1" w:rsidRDefault="007363D1" w:rsidP="007363D1">
      <w:r>
        <w:t>NTMTM</w:t>
      </w:r>
      <w:r w:rsidRPr="00A84251">
        <w:tab/>
      </w:r>
      <w:r>
        <w:t xml:space="preserve">NT </w:t>
      </w:r>
      <w:r w:rsidR="00B16191">
        <w:t xml:space="preserve">Materials Testing Manual accessible via </w:t>
      </w:r>
      <w:hyperlink r:id="rId7" w:history="1">
        <w:r w:rsidR="00B16191" w:rsidRPr="006447AE">
          <w:rPr>
            <w:rStyle w:val="Hyperlink"/>
          </w:rPr>
          <w:t>https://transport.nt.gov.au/infrastructure/technical-standards-guidelines-and-specifications/materials-testing-manual</w:t>
        </w:r>
      </w:hyperlink>
    </w:p>
    <w:p w14:paraId="454F94DE" w14:textId="77777777" w:rsidR="007363D1" w:rsidRPr="00A84251" w:rsidRDefault="007363D1" w:rsidP="007363D1">
      <w:r>
        <w:lastRenderedPageBreak/>
        <w:t>NTTM</w:t>
      </w:r>
      <w:r>
        <w:tab/>
      </w:r>
      <w:r>
        <w:tab/>
        <w:t>NT Test Methods</w:t>
      </w:r>
    </w:p>
    <w:p w14:paraId="190ED18E" w14:textId="77777777" w:rsidR="007363D1" w:rsidRDefault="007363D1" w:rsidP="007363D1">
      <w:pPr>
        <w:pStyle w:val="ASList"/>
      </w:pPr>
    </w:p>
    <w:p w14:paraId="688A044F" w14:textId="77777777" w:rsidR="007363D1" w:rsidRDefault="007363D1" w:rsidP="007363D1">
      <w:r w:rsidRPr="00A84251">
        <w:t>AUSTROADS</w:t>
      </w:r>
      <w:r w:rsidRPr="00A84251">
        <w:tab/>
      </w:r>
    </w:p>
    <w:p w14:paraId="11D42EBB" w14:textId="77777777" w:rsidR="007363D1" w:rsidRDefault="007363D1" w:rsidP="007363D1">
      <w:r>
        <w:t>AGBT (set)</w:t>
      </w:r>
      <w:r>
        <w:tab/>
        <w:t>Guide to Bridge Technology</w:t>
      </w:r>
      <w:r w:rsidRPr="00A84251">
        <w:t>.</w:t>
      </w:r>
    </w:p>
    <w:p w14:paraId="14118238" w14:textId="77777777" w:rsidR="007363D1" w:rsidRDefault="007363D1" w:rsidP="007363D1">
      <w:pPr>
        <w:pStyle w:val="ASList"/>
      </w:pPr>
    </w:p>
    <w:p w14:paraId="7EBD605A" w14:textId="77777777" w:rsidR="007363D1" w:rsidRDefault="007363D1" w:rsidP="007363D1">
      <w:r>
        <w:t>ARRB</w:t>
      </w:r>
    </w:p>
    <w:p w14:paraId="42265DDF" w14:textId="77777777" w:rsidR="007363D1" w:rsidRDefault="007363D1" w:rsidP="007363D1">
      <w:r w:rsidRPr="00D9409C">
        <w:t>Specifications for Recycled Crushed Glass as an Engineering Material</w:t>
      </w:r>
    </w:p>
    <w:p w14:paraId="54EC138B" w14:textId="77777777" w:rsidR="007363D1" w:rsidRDefault="007363D1" w:rsidP="007363D1">
      <w:pPr>
        <w:pStyle w:val="ASList"/>
      </w:pPr>
    </w:p>
    <w:p w14:paraId="7FB6AC09" w14:textId="77777777" w:rsidR="007363D1" w:rsidRDefault="007363D1" w:rsidP="007363D1">
      <w:r>
        <w:t>WORK</w:t>
      </w:r>
      <w:r w:rsidR="0047415E">
        <w:t xml:space="preserve"> </w:t>
      </w:r>
      <w:r>
        <w:t>SAFE AUSTRALIA</w:t>
      </w:r>
    </w:p>
    <w:p w14:paraId="1DF2CEBB" w14:textId="77777777" w:rsidR="007363D1" w:rsidRPr="00336D26" w:rsidRDefault="007363D1" w:rsidP="007363D1">
      <w:r w:rsidRPr="00336D26">
        <w:t>Excavation Work Code of Practice</w:t>
      </w:r>
    </w:p>
    <w:p w14:paraId="06F1A059" w14:textId="77777777" w:rsidR="007363D1" w:rsidRPr="00797D15" w:rsidRDefault="007363D1" w:rsidP="007363D1">
      <w:pPr>
        <w:pStyle w:val="Heading2"/>
        <w:keepNext/>
        <w:widowControl/>
        <w:numPr>
          <w:ilvl w:val="1"/>
          <w:numId w:val="14"/>
        </w:numPr>
        <w:ind w:left="720" w:hanging="720"/>
      </w:pPr>
      <w:bookmarkStart w:id="10" w:name="_Toc390823708"/>
      <w:bookmarkStart w:id="11" w:name="_Toc391429400"/>
      <w:bookmarkStart w:id="12" w:name="_Toc396035078"/>
      <w:bookmarkStart w:id="13" w:name="_Toc398800469"/>
      <w:r w:rsidRPr="00797D15">
        <w:t>Definitions</w:t>
      </w:r>
      <w:bookmarkEnd w:id="10"/>
      <w:bookmarkEnd w:id="11"/>
      <w:bookmarkEnd w:id="12"/>
      <w:bookmarkEnd w:id="13"/>
    </w:p>
    <w:p w14:paraId="7EA12396" w14:textId="77777777" w:rsidR="007363D1" w:rsidRDefault="007363D1" w:rsidP="007363D1">
      <w:pPr>
        <w:ind w:left="2977" w:hanging="2977"/>
      </w:pPr>
      <w:r w:rsidRPr="00A84251">
        <w:t>CULVERT:</w:t>
      </w:r>
      <w:r w:rsidRPr="00A84251">
        <w:tab/>
        <w:t>An underground pipe, box or arch constructed in an embankment or trench.</w:t>
      </w:r>
    </w:p>
    <w:p w14:paraId="06DF269C" w14:textId="77777777" w:rsidR="007363D1" w:rsidRPr="00A84251" w:rsidRDefault="007363D1" w:rsidP="007363D1">
      <w:pPr>
        <w:ind w:left="2977" w:hanging="2977"/>
      </w:pPr>
      <w:r>
        <w:tab/>
        <w:t>Typically located in a trench, embankment or road formation in a transverse crossing or in a longitudinal drainage line.</w:t>
      </w:r>
    </w:p>
    <w:p w14:paraId="39D8DE8D" w14:textId="77777777" w:rsidR="007363D1" w:rsidRPr="00A84251" w:rsidRDefault="007363D1" w:rsidP="007363D1">
      <w:pPr>
        <w:ind w:left="2977" w:hanging="2977"/>
      </w:pPr>
      <w:r w:rsidRPr="00A84251">
        <w:t>CULVERT SKEW ANGLE:</w:t>
      </w:r>
      <w:r w:rsidRPr="00A84251">
        <w:tab/>
        <w:t>The angle between a line drawn perpendicular or radial to the road centre line and the centre line of the culvert.</w:t>
      </w:r>
    </w:p>
    <w:p w14:paraId="4FDEA3AF" w14:textId="77777777" w:rsidR="007363D1" w:rsidRPr="00A84251" w:rsidRDefault="007363D1" w:rsidP="007363D1">
      <w:pPr>
        <w:ind w:left="2977" w:hanging="2977"/>
      </w:pPr>
      <w:r w:rsidRPr="00A84251">
        <w:t>CULVERT CHAINAGE:</w:t>
      </w:r>
      <w:r w:rsidRPr="00A84251">
        <w:tab/>
        <w:t>The chainage measured along the road centre line at its intersection with the culvert centre line.</w:t>
      </w:r>
    </w:p>
    <w:p w14:paraId="2B3A4FF6" w14:textId="77777777" w:rsidR="007363D1" w:rsidRDefault="007363D1" w:rsidP="007363D1">
      <w:pPr>
        <w:ind w:left="2977" w:hanging="2977"/>
      </w:pPr>
      <w:r w:rsidRPr="00A84251">
        <w:t>LARGE BOX CULVERTS:</w:t>
      </w:r>
      <w:r w:rsidRPr="00A84251">
        <w:tab/>
        <w:t>Precast box culverts and link slabs having spans greater than</w:t>
      </w:r>
      <w:r>
        <w:t xml:space="preserve"> 1200 mm, heights greater than 12</w:t>
      </w:r>
      <w:r w:rsidRPr="00A84251">
        <w:t>00 mm or fill heights exceeding 1600 mm.</w:t>
      </w:r>
    </w:p>
    <w:p w14:paraId="771A4C9B" w14:textId="77777777" w:rsidR="007363D1" w:rsidRPr="00D9409C" w:rsidRDefault="007363D1" w:rsidP="007363D1">
      <w:pPr>
        <w:ind w:left="2977" w:hanging="2977"/>
        <w:rPr>
          <w:color w:val="000000"/>
        </w:rPr>
      </w:pPr>
      <w:r w:rsidRPr="00A841A9">
        <w:t>RECYCLED</w:t>
      </w:r>
      <w:r w:rsidRPr="00D9409C">
        <w:rPr>
          <w:color w:val="000000"/>
        </w:rPr>
        <w:t xml:space="preserve"> CRUSHED GLASS (RCG):</w:t>
      </w:r>
    </w:p>
    <w:p w14:paraId="46F9D802" w14:textId="77777777" w:rsidR="0012299A" w:rsidRDefault="007363D1" w:rsidP="0012299A">
      <w:r w:rsidRPr="00797D15">
        <w:t>RCG conforming to Specifications for Recycled Crushed Glass as an Engineering Material Section 9. A copy is available via</w:t>
      </w:r>
      <w:r w:rsidRPr="00D9409C">
        <w:rPr>
          <w:color w:val="000000"/>
        </w:rPr>
        <w:t xml:space="preserve"> </w:t>
      </w:r>
    </w:p>
    <w:p w14:paraId="79E0AEBF" w14:textId="77777777" w:rsidR="0012299A" w:rsidRDefault="005A62B5" w:rsidP="0012299A">
      <w:hyperlink r:id="rId8" w:history="1">
        <w:r w:rsidR="0012299A">
          <w:rPr>
            <w:rStyle w:val="Hyperlink"/>
          </w:rPr>
          <w:t>http://tucows.nt.gov.au/infrastructure/techspecs/documents/ARRB_specifications_RCG.pdf</w:t>
        </w:r>
      </w:hyperlink>
    </w:p>
    <w:p w14:paraId="3B9CD66A" w14:textId="27032E3D" w:rsidR="007363D1" w:rsidRDefault="007363D1" w:rsidP="00BD170C">
      <w:pPr>
        <w:ind w:left="2977" w:hanging="2977"/>
      </w:pPr>
      <w:r>
        <w:t>SHALL</w:t>
      </w:r>
      <w:r>
        <w:tab/>
        <w:t>Is indicative of a mandatory requirement unless the context clearly indicates otherwise.</w:t>
      </w:r>
    </w:p>
    <w:p w14:paraId="0ADA7242" w14:textId="77777777" w:rsidR="007363D1" w:rsidRDefault="007363D1" w:rsidP="007363D1">
      <w:pPr>
        <w:ind w:left="2977" w:hanging="2977"/>
      </w:pPr>
      <w:r>
        <w:t>TOM(S)</w:t>
      </w:r>
      <w:r>
        <w:tab/>
        <w:t>Devices used to hold pipe culverts in place during backfilling of trenches.</w:t>
      </w:r>
    </w:p>
    <w:p w14:paraId="795E07F8" w14:textId="77777777" w:rsidR="007363D1" w:rsidRDefault="007363D1" w:rsidP="007363D1">
      <w:pPr>
        <w:ind w:left="2977"/>
      </w:pPr>
      <w:r>
        <w:t>Also;</w:t>
      </w:r>
    </w:p>
    <w:p w14:paraId="2764A590" w14:textId="77777777" w:rsidR="007363D1" w:rsidRDefault="007363D1" w:rsidP="007363D1">
      <w:pPr>
        <w:ind w:left="2977"/>
      </w:pPr>
      <w:r>
        <w:t>Horizontal device(s), such as timbers, metal struts, hydraulic spreaders, etc, spanning across an excavation for holding soldiers (vertical timbers) or walings (horizontal timbers) in place against the sides of trenches before and during trench backfilling.</w:t>
      </w:r>
    </w:p>
    <w:p w14:paraId="5B305183" w14:textId="77777777" w:rsidR="007363D1" w:rsidRPr="003F28AB" w:rsidRDefault="007363D1" w:rsidP="007363D1">
      <w:pPr>
        <w:ind w:left="2977" w:hanging="2977"/>
      </w:pPr>
      <w:r>
        <w:lastRenderedPageBreak/>
        <w:t>UNSUITABLE MATERIAL</w:t>
      </w:r>
      <w:r w:rsidRPr="00A84251">
        <w:t>:</w:t>
      </w:r>
      <w:r w:rsidRPr="00A84251">
        <w:tab/>
        <w:t>An</w:t>
      </w:r>
      <w:r>
        <w:t>y material that does not conform to the properties specified for the replacement materials to be used. If properties of the replacement materials to be used are not specified, then UNSUITABLE MATERIALS are materials which do not conform to the properties specified for standard fill.</w:t>
      </w:r>
    </w:p>
    <w:p w14:paraId="67B40460" w14:textId="77777777" w:rsidR="007363D1" w:rsidRPr="00797D15" w:rsidRDefault="007363D1" w:rsidP="007363D1">
      <w:pPr>
        <w:pStyle w:val="Heading2"/>
        <w:keepNext/>
        <w:widowControl/>
        <w:numPr>
          <w:ilvl w:val="1"/>
          <w:numId w:val="14"/>
        </w:numPr>
        <w:ind w:left="720" w:hanging="720"/>
      </w:pPr>
      <w:bookmarkStart w:id="14" w:name="_Toc390823709"/>
      <w:bookmarkStart w:id="15" w:name="_Toc391429401"/>
      <w:bookmarkStart w:id="16" w:name="_Toc396035079"/>
      <w:bookmarkStart w:id="17" w:name="_Toc398800470"/>
      <w:r w:rsidRPr="00797D15">
        <w:t>General</w:t>
      </w:r>
      <w:bookmarkEnd w:id="14"/>
      <w:bookmarkEnd w:id="15"/>
      <w:bookmarkEnd w:id="16"/>
      <w:bookmarkEnd w:id="17"/>
    </w:p>
    <w:p w14:paraId="0018C566" w14:textId="77777777" w:rsidR="007363D1" w:rsidRPr="00A84251" w:rsidRDefault="007363D1" w:rsidP="007363D1">
      <w:r w:rsidRPr="00A84251">
        <w:t>This section applies to the construction of precast concrete pipe culverts not exceeding 1950 mm nominal diameter, precast concrete box culverts and other drainage items.</w:t>
      </w:r>
    </w:p>
    <w:p w14:paraId="51598A75" w14:textId="77777777" w:rsidR="007363D1" w:rsidRPr="00797D15" w:rsidRDefault="007363D1" w:rsidP="007363D1">
      <w:pPr>
        <w:pStyle w:val="Heading2"/>
        <w:keepNext/>
        <w:widowControl/>
        <w:numPr>
          <w:ilvl w:val="1"/>
          <w:numId w:val="14"/>
        </w:numPr>
        <w:ind w:left="720" w:hanging="720"/>
      </w:pPr>
      <w:bookmarkStart w:id="18" w:name="_Toc390823710"/>
      <w:bookmarkStart w:id="19" w:name="_Toc391429402"/>
      <w:bookmarkStart w:id="20" w:name="_Toc396035080"/>
      <w:bookmarkStart w:id="21" w:name="_Toc398800471"/>
      <w:r w:rsidRPr="00797D15">
        <w:t>Clearing</w:t>
      </w:r>
      <w:bookmarkEnd w:id="18"/>
      <w:bookmarkEnd w:id="19"/>
      <w:bookmarkEnd w:id="20"/>
      <w:bookmarkEnd w:id="21"/>
    </w:p>
    <w:p w14:paraId="73219161" w14:textId="77777777" w:rsidR="007363D1" w:rsidRPr="00A84251" w:rsidRDefault="007363D1" w:rsidP="007363D1">
      <w:r w:rsidRPr="00A84251">
        <w:t>Clear the site as specified in the CLEARING, GRUBBING AND REHABILITATION Section.</w:t>
      </w:r>
    </w:p>
    <w:p w14:paraId="69D32CC6" w14:textId="77777777" w:rsidR="007363D1" w:rsidRPr="00797D15" w:rsidRDefault="007363D1" w:rsidP="007363D1">
      <w:pPr>
        <w:pStyle w:val="Heading2"/>
        <w:keepNext/>
        <w:widowControl/>
        <w:numPr>
          <w:ilvl w:val="1"/>
          <w:numId w:val="14"/>
        </w:numPr>
        <w:ind w:left="720" w:hanging="720"/>
      </w:pPr>
      <w:bookmarkStart w:id="22" w:name="_Toc390823711"/>
      <w:bookmarkStart w:id="23" w:name="_Toc391429403"/>
      <w:bookmarkStart w:id="24" w:name="_Toc396035081"/>
      <w:bookmarkStart w:id="25" w:name="_Toc398800472"/>
      <w:r w:rsidRPr="00797D15">
        <w:t>Materials</w:t>
      </w:r>
      <w:bookmarkEnd w:id="22"/>
      <w:bookmarkEnd w:id="23"/>
      <w:bookmarkEnd w:id="24"/>
      <w:bookmarkEnd w:id="25"/>
    </w:p>
    <w:p w14:paraId="65698F8E" w14:textId="77777777" w:rsidR="007363D1" w:rsidRPr="00A84251" w:rsidRDefault="007363D1" w:rsidP="007363D1">
      <w:r w:rsidRPr="00A84251">
        <w:t>Conformance testing will be the responsibility of the Contractor.</w:t>
      </w:r>
    </w:p>
    <w:p w14:paraId="1DB51C72" w14:textId="77777777" w:rsidR="007363D1" w:rsidRPr="00A84251" w:rsidRDefault="007363D1" w:rsidP="007363D1">
      <w:r w:rsidRPr="00A84251">
        <w:t>Ensure that all pipes and box culverts are i</w:t>
      </w:r>
      <w:r>
        <w:t>ndelibly marked with a Standards Australia</w:t>
      </w:r>
      <w:r w:rsidRPr="00A84251">
        <w:t xml:space="preserve"> conformance stamp.</w:t>
      </w:r>
    </w:p>
    <w:p w14:paraId="4810FD6E" w14:textId="77777777" w:rsidR="007363D1" w:rsidRPr="00A84251" w:rsidRDefault="007363D1" w:rsidP="007363D1">
      <w:r w:rsidRPr="00A84251">
        <w:t>Pipes and box culverts not stamped shall be removed from site at the Contractor's expense.</w:t>
      </w:r>
    </w:p>
    <w:p w14:paraId="4ED751C2" w14:textId="77777777" w:rsidR="007363D1" w:rsidRPr="00797D15" w:rsidRDefault="007363D1" w:rsidP="007363D1">
      <w:pPr>
        <w:pStyle w:val="Heading3"/>
        <w:numPr>
          <w:ilvl w:val="2"/>
          <w:numId w:val="14"/>
        </w:numPr>
      </w:pPr>
      <w:bookmarkStart w:id="26" w:name="_Toc390823712"/>
      <w:bookmarkStart w:id="27" w:name="_Toc391429404"/>
      <w:bookmarkStart w:id="28" w:name="_Toc396035082"/>
      <w:bookmarkStart w:id="29" w:name="_Toc398800473"/>
      <w:r w:rsidRPr="00797D15">
        <w:t>Precast Reinforced Concrete Pipes</w:t>
      </w:r>
      <w:bookmarkEnd w:id="26"/>
      <w:bookmarkEnd w:id="27"/>
      <w:bookmarkEnd w:id="28"/>
      <w:bookmarkEnd w:id="29"/>
    </w:p>
    <w:p w14:paraId="35684F6D" w14:textId="77777777" w:rsidR="007363D1" w:rsidRPr="00A84251" w:rsidRDefault="007363D1" w:rsidP="007363D1">
      <w:r w:rsidRPr="00A84251">
        <w:t>Pipes to be flush joint type with external rubber bands.</w:t>
      </w:r>
    </w:p>
    <w:p w14:paraId="7DBBDB2A" w14:textId="77777777" w:rsidR="007363D1" w:rsidRDefault="007363D1" w:rsidP="007363D1">
      <w:r w:rsidRPr="00A84251">
        <w:t>Pipes to be clearly marked as to their class.</w:t>
      </w:r>
    </w:p>
    <w:p w14:paraId="2AD3E0E8" w14:textId="77777777" w:rsidR="00AD070B" w:rsidRPr="00797D15" w:rsidRDefault="00AD070B" w:rsidP="00AD070B">
      <w:pPr>
        <w:pStyle w:val="Heading3"/>
        <w:numPr>
          <w:ilvl w:val="2"/>
          <w:numId w:val="14"/>
        </w:numPr>
      </w:pPr>
      <w:r>
        <w:t>Rubber Ring Joint</w:t>
      </w:r>
      <w:r w:rsidRPr="00797D15">
        <w:t xml:space="preserve"> Pipes</w:t>
      </w:r>
    </w:p>
    <w:p w14:paraId="1D67E77F" w14:textId="77777777" w:rsidR="00AD070B" w:rsidRPr="00A84251" w:rsidRDefault="00AD070B" w:rsidP="00AD070B">
      <w:r w:rsidRPr="00A84251">
        <w:t>Pipes to be clearly marked as to their class.</w:t>
      </w:r>
    </w:p>
    <w:p w14:paraId="50280B3C" w14:textId="77777777" w:rsidR="007363D1" w:rsidRPr="00797D15" w:rsidRDefault="007363D1" w:rsidP="007363D1">
      <w:pPr>
        <w:pStyle w:val="Heading3"/>
        <w:numPr>
          <w:ilvl w:val="2"/>
          <w:numId w:val="14"/>
        </w:numPr>
      </w:pPr>
      <w:bookmarkStart w:id="30" w:name="_Toc390823713"/>
      <w:bookmarkStart w:id="31" w:name="_Toc391429405"/>
      <w:bookmarkStart w:id="32" w:name="_Toc396035083"/>
      <w:bookmarkStart w:id="33" w:name="_Toc398800474"/>
      <w:r w:rsidRPr="00797D15">
        <w:t>Precast Reinforced Concrete Box Culverts</w:t>
      </w:r>
      <w:bookmarkEnd w:id="30"/>
      <w:bookmarkEnd w:id="31"/>
      <w:bookmarkEnd w:id="32"/>
      <w:bookmarkEnd w:id="33"/>
      <w:r w:rsidRPr="00797D15">
        <w:t xml:space="preserve"> – Hold Point – Witness Point</w:t>
      </w:r>
    </w:p>
    <w:p w14:paraId="2B43CCF9" w14:textId="77777777" w:rsidR="007363D1" w:rsidRPr="00A84251" w:rsidRDefault="007363D1" w:rsidP="007363D1">
      <w:r w:rsidRPr="00A84251">
        <w:t>Use box culverts of the inverted U type suitable for installation on a cast</w:t>
      </w:r>
      <w:r w:rsidRPr="00A84251">
        <w:noBreakHyphen/>
        <w:t>in</w:t>
      </w:r>
      <w:r w:rsidRPr="00A84251">
        <w:noBreakHyphen/>
        <w:t>situ concrete slab.</w:t>
      </w:r>
    </w:p>
    <w:p w14:paraId="631B2D91" w14:textId="77777777" w:rsidR="007363D1" w:rsidRPr="00A84251" w:rsidRDefault="007363D1" w:rsidP="007363D1">
      <w:r w:rsidRPr="00A84251">
        <w:t>Design and supply box culverts which have a span not greater than 12</w:t>
      </w:r>
      <w:r>
        <w:t>00 mm, height not more than 12</w:t>
      </w:r>
      <w:r w:rsidRPr="00A84251">
        <w:t>00 mm and a fill height not more than 1600 mm in accordance with AS 1597.1.</w:t>
      </w:r>
    </w:p>
    <w:p w14:paraId="24B00DF6" w14:textId="77777777" w:rsidR="007363D1" w:rsidRPr="00A84251" w:rsidRDefault="007363D1" w:rsidP="007363D1">
      <w:r w:rsidRPr="00A84251">
        <w:t>Design all other box culverts in accordance with AS 1597.2.</w:t>
      </w:r>
    </w:p>
    <w:p w14:paraId="11145AA1" w14:textId="77777777" w:rsidR="007363D1" w:rsidRPr="00A84251" w:rsidRDefault="007363D1" w:rsidP="007363D1">
      <w:r w:rsidRPr="00A84251">
        <w:t>Use Standard Vehicle Loadings including NT Standard Road Train, with addition of the HLP 400 Abnormal Vehicle Loading on all National Highways, and HLP 320 on all other routes.</w:t>
      </w:r>
    </w:p>
    <w:p w14:paraId="54E5982C" w14:textId="77777777" w:rsidR="007363D1" w:rsidRDefault="007363D1" w:rsidP="007363D1">
      <w:r w:rsidRPr="00A84251">
        <w:t>Provide culverts designed for the following exposure classification</w:t>
      </w:r>
      <w:r>
        <w:t xml:space="preserve"> (AS 5100.5 Exposure Classifications table)</w:t>
      </w:r>
      <w:r w:rsidRPr="00A84251">
        <w:t xml:space="preserve">: </w:t>
      </w:r>
      <w:r w:rsidRPr="00A24301">
        <w:rPr>
          <w:b/>
          <w:color w:val="984806"/>
        </w:rPr>
        <w:t>[enter data]</w:t>
      </w:r>
      <w:r w:rsidRPr="00A84251">
        <w:t>.</w:t>
      </w:r>
    </w:p>
    <w:p w14:paraId="070BA6FB" w14:textId="4686A385" w:rsidR="007363D1" w:rsidRPr="00A84251" w:rsidRDefault="00302F32" w:rsidP="007363D1">
      <w:pPr>
        <w:pStyle w:val="guidenotes"/>
      </w:pPr>
      <w:r>
        <w:t>[</w:t>
      </w:r>
      <w:r w:rsidR="007363D1">
        <w:t>Select Exposure Classification appropriate to the site of the works from the table. Enter the classification code here. Refer to NT CLIMATE ZONES TABLE.]</w:t>
      </w:r>
    </w:p>
    <w:p w14:paraId="65119A3D" w14:textId="77777777" w:rsidR="007363D1" w:rsidRPr="00A84251" w:rsidRDefault="007363D1" w:rsidP="007363D1">
      <w:r w:rsidRPr="00D9033D">
        <w:rPr>
          <w:b/>
        </w:rPr>
        <w:t>Hold point</w:t>
      </w:r>
      <w:r w:rsidRPr="00A84251">
        <w:t xml:space="preserve"> - Provide drawings showing complete reinforcement and dimensions with </w:t>
      </w:r>
      <w:r w:rsidRPr="00A84251">
        <w:lastRenderedPageBreak/>
        <w:t xml:space="preserve">tolerances and obtain the Superintendent’s approval prior to fabricating any units. </w:t>
      </w:r>
      <w:r>
        <w:t>Provide manufacturer’s certification that the provided culverts comply with the applicable sections of AS 5100.5 and with AS 1597.</w:t>
      </w:r>
      <w:r w:rsidRPr="00A84251">
        <w:t xml:space="preserve"> Certify that the design is reflected accurately by the shop drawings and that the design is adequate to resist all specified loads and the soil loads pertaining to the site.</w:t>
      </w:r>
    </w:p>
    <w:p w14:paraId="6F56F2B2" w14:textId="77777777" w:rsidR="007363D1" w:rsidRPr="00A84251" w:rsidRDefault="007363D1" w:rsidP="007363D1">
      <w:r w:rsidRPr="00A84251">
        <w:t>Provide a table of construction axle loads versus minimum required cover for each box culvert size.</w:t>
      </w:r>
    </w:p>
    <w:p w14:paraId="75A97D03" w14:textId="77777777" w:rsidR="007363D1" w:rsidRPr="00A84251" w:rsidRDefault="007363D1" w:rsidP="007363D1">
      <w:r w:rsidRPr="00D9033D">
        <w:rPr>
          <w:b/>
        </w:rPr>
        <w:t>Witness point</w:t>
      </w:r>
      <w:r w:rsidRPr="00A84251">
        <w:t xml:space="preserve"> - Give the Superintendent notice prior to casting concrete.</w:t>
      </w:r>
    </w:p>
    <w:p w14:paraId="022DE117" w14:textId="77777777" w:rsidR="007363D1" w:rsidRPr="00797D15" w:rsidRDefault="007363D1" w:rsidP="007363D1">
      <w:pPr>
        <w:pStyle w:val="Heading3"/>
        <w:numPr>
          <w:ilvl w:val="2"/>
          <w:numId w:val="14"/>
        </w:numPr>
      </w:pPr>
      <w:bookmarkStart w:id="34" w:name="_Toc390823715"/>
      <w:bookmarkStart w:id="35" w:name="_Toc391429407"/>
      <w:bookmarkStart w:id="36" w:name="_Toc396035085"/>
      <w:bookmarkStart w:id="37" w:name="_Toc398800476"/>
      <w:r w:rsidRPr="00797D15">
        <w:t>Bedding</w:t>
      </w:r>
      <w:bookmarkEnd w:id="34"/>
      <w:bookmarkEnd w:id="35"/>
      <w:bookmarkEnd w:id="36"/>
      <w:bookmarkEnd w:id="37"/>
    </w:p>
    <w:p w14:paraId="3520F2B8" w14:textId="77777777" w:rsidR="007363D1" w:rsidRPr="00D9409C" w:rsidRDefault="007363D1" w:rsidP="007363D1">
      <w:r w:rsidRPr="00D9409C">
        <w:t>Bedding material to be one of the following:</w:t>
      </w:r>
    </w:p>
    <w:p w14:paraId="4C0C3BA3" w14:textId="77777777" w:rsidR="007363D1" w:rsidRPr="00D9409C" w:rsidRDefault="007363D1" w:rsidP="007363D1">
      <w:pPr>
        <w:pStyle w:val="ListParagraph"/>
        <w:numPr>
          <w:ilvl w:val="0"/>
          <w:numId w:val="29"/>
        </w:numPr>
      </w:pPr>
      <w:r w:rsidRPr="00D9409C">
        <w:t xml:space="preserve">A clean granular material free from sticks, stones and other deleterious material with a Plasticity Index less than 6, conforming to the </w:t>
      </w:r>
      <w:r w:rsidRPr="00797D15">
        <w:rPr>
          <w:b/>
          <w:i/>
        </w:rPr>
        <w:t>Table - Material Size</w:t>
      </w:r>
      <w:r w:rsidRPr="00D9409C">
        <w:t>, or</w:t>
      </w:r>
    </w:p>
    <w:p w14:paraId="0C58AEF0" w14:textId="77777777" w:rsidR="007363D1" w:rsidRPr="00D9409C" w:rsidRDefault="007363D1" w:rsidP="007363D1">
      <w:pPr>
        <w:pStyle w:val="ListParagraph"/>
        <w:numPr>
          <w:ilvl w:val="0"/>
          <w:numId w:val="29"/>
        </w:numPr>
      </w:pPr>
      <w:r w:rsidRPr="00D9409C">
        <w:t>RCG conforming to Specifications for Recycled Crushed Glass as an Engineering Material Section 9, or</w:t>
      </w:r>
    </w:p>
    <w:p w14:paraId="413BF50B" w14:textId="77777777" w:rsidR="007363D1" w:rsidRPr="00D9409C" w:rsidRDefault="007363D1" w:rsidP="007363D1">
      <w:pPr>
        <w:pStyle w:val="ListParagraph"/>
        <w:numPr>
          <w:ilvl w:val="0"/>
          <w:numId w:val="29"/>
        </w:numPr>
      </w:pPr>
      <w:r w:rsidRPr="00D9409C">
        <w:t xml:space="preserve">Mix blend of RCG conforming to Specifications for Recycled Crushed Glass as an Engineering Material Section 9, and clean granular material free from sticks, stones and other deleterious material with a Plasticity Index less than 6, conforming to the </w:t>
      </w:r>
      <w:r w:rsidRPr="00797D15">
        <w:rPr>
          <w:b/>
          <w:i/>
        </w:rPr>
        <w:t>Table - Material Size</w:t>
      </w:r>
      <w:r w:rsidRPr="00D9409C">
        <w:t>.</w:t>
      </w:r>
    </w:p>
    <w:p w14:paraId="34348841" w14:textId="77777777" w:rsidR="007363D1" w:rsidRPr="00A84251" w:rsidRDefault="007363D1" w:rsidP="007363D1">
      <w:pPr>
        <w:pStyle w:val="BoldLowercase"/>
      </w:pPr>
    </w:p>
    <w:tbl>
      <w:tblPr>
        <w:tblW w:w="5000" w:type="pct"/>
        <w:tblBorders>
          <w:top w:val="single" w:sz="6" w:space="0" w:color="auto"/>
          <w:left w:val="single" w:sz="4" w:space="0" w:color="auto"/>
          <w:bottom w:val="single" w:sz="6"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3957"/>
        <w:gridCol w:w="5337"/>
      </w:tblGrid>
      <w:tr w:rsidR="007363D1" w:rsidRPr="00A84251" w14:paraId="0910A614" w14:textId="77777777" w:rsidTr="00FC3F10">
        <w:trPr>
          <w:cantSplit/>
          <w:trHeight w:val="279"/>
        </w:trPr>
        <w:tc>
          <w:tcPr>
            <w:tcW w:w="5000" w:type="pct"/>
            <w:gridSpan w:val="2"/>
            <w:vAlign w:val="center"/>
          </w:tcPr>
          <w:p w14:paraId="5E5BF69C" w14:textId="77777777" w:rsidR="007363D1" w:rsidRPr="00D576F4" w:rsidRDefault="007363D1" w:rsidP="00E224D9">
            <w:pPr>
              <w:keepNext/>
              <w:keepLines/>
              <w:spacing w:after="0"/>
              <w:rPr>
                <w:b/>
                <w:i/>
              </w:rPr>
            </w:pPr>
            <w:bookmarkStart w:id="38" w:name="_Toc390823716"/>
            <w:bookmarkStart w:id="39" w:name="_Toc391429408"/>
            <w:bookmarkStart w:id="40" w:name="_Toc396035086"/>
            <w:bookmarkStart w:id="41" w:name="_Toc398800477"/>
            <w:r w:rsidRPr="00D576F4">
              <w:rPr>
                <w:b/>
                <w:i/>
              </w:rPr>
              <w:t>Table - Material Size</w:t>
            </w:r>
            <w:bookmarkEnd w:id="38"/>
            <w:bookmarkEnd w:id="39"/>
            <w:bookmarkEnd w:id="40"/>
            <w:bookmarkEnd w:id="41"/>
          </w:p>
        </w:tc>
      </w:tr>
      <w:tr w:rsidR="007363D1" w:rsidRPr="00A84251" w14:paraId="279442DC" w14:textId="77777777" w:rsidTr="00FC3F10">
        <w:trPr>
          <w:cantSplit/>
          <w:trHeight w:val="279"/>
        </w:trPr>
        <w:tc>
          <w:tcPr>
            <w:tcW w:w="2129" w:type="pct"/>
            <w:vAlign w:val="center"/>
          </w:tcPr>
          <w:p w14:paraId="5EBFF3DA" w14:textId="77777777" w:rsidR="007363D1" w:rsidRPr="00797D15" w:rsidRDefault="007363D1" w:rsidP="00E224D9">
            <w:pPr>
              <w:keepNext/>
              <w:keepLines/>
              <w:spacing w:after="0"/>
              <w:jc w:val="center"/>
              <w:rPr>
                <w:b/>
              </w:rPr>
            </w:pPr>
            <w:r w:rsidRPr="00797D15">
              <w:rPr>
                <w:b/>
              </w:rPr>
              <w:t>AS Sieve (mm)</w:t>
            </w:r>
          </w:p>
        </w:tc>
        <w:tc>
          <w:tcPr>
            <w:tcW w:w="2871" w:type="pct"/>
            <w:vAlign w:val="center"/>
          </w:tcPr>
          <w:p w14:paraId="04FAE0F1" w14:textId="77777777" w:rsidR="007363D1" w:rsidRPr="00797D15" w:rsidRDefault="007363D1" w:rsidP="00E224D9">
            <w:pPr>
              <w:keepNext/>
              <w:keepLines/>
              <w:spacing w:after="0"/>
              <w:jc w:val="center"/>
              <w:rPr>
                <w:b/>
              </w:rPr>
            </w:pPr>
            <w:r w:rsidRPr="00797D15">
              <w:rPr>
                <w:b/>
              </w:rPr>
              <w:t>Percentage Passing By Dry Mass</w:t>
            </w:r>
          </w:p>
        </w:tc>
      </w:tr>
      <w:tr w:rsidR="007363D1" w:rsidRPr="00A84251" w14:paraId="30173912" w14:textId="77777777" w:rsidTr="00FC3F10">
        <w:trPr>
          <w:cantSplit/>
          <w:trHeight w:val="279"/>
        </w:trPr>
        <w:tc>
          <w:tcPr>
            <w:tcW w:w="2129" w:type="pct"/>
            <w:vAlign w:val="center"/>
          </w:tcPr>
          <w:p w14:paraId="7DD5CC6F" w14:textId="77777777" w:rsidR="007363D1" w:rsidRPr="00A84251" w:rsidRDefault="007363D1" w:rsidP="00E224D9">
            <w:pPr>
              <w:keepNext/>
              <w:keepLines/>
              <w:spacing w:after="0"/>
              <w:jc w:val="center"/>
            </w:pPr>
            <w:r w:rsidRPr="00A84251">
              <w:t>19.0</w:t>
            </w:r>
          </w:p>
        </w:tc>
        <w:tc>
          <w:tcPr>
            <w:tcW w:w="2871" w:type="pct"/>
            <w:vAlign w:val="center"/>
          </w:tcPr>
          <w:p w14:paraId="0E10A85A" w14:textId="77777777" w:rsidR="007363D1" w:rsidRPr="00A84251" w:rsidRDefault="007363D1" w:rsidP="00E224D9">
            <w:pPr>
              <w:keepNext/>
              <w:keepLines/>
              <w:spacing w:after="0"/>
              <w:jc w:val="center"/>
            </w:pPr>
            <w:r w:rsidRPr="00A84251">
              <w:t>100</w:t>
            </w:r>
          </w:p>
        </w:tc>
      </w:tr>
      <w:tr w:rsidR="007363D1" w:rsidRPr="00A84251" w14:paraId="6E5B76E4" w14:textId="77777777" w:rsidTr="00FC3F10">
        <w:trPr>
          <w:cantSplit/>
          <w:trHeight w:val="279"/>
        </w:trPr>
        <w:tc>
          <w:tcPr>
            <w:tcW w:w="2129" w:type="pct"/>
            <w:vAlign w:val="center"/>
          </w:tcPr>
          <w:p w14:paraId="05F5401C" w14:textId="77777777" w:rsidR="007363D1" w:rsidRPr="00A84251" w:rsidRDefault="007363D1" w:rsidP="00E224D9">
            <w:pPr>
              <w:keepNext/>
              <w:keepLines/>
              <w:spacing w:after="0"/>
              <w:jc w:val="center"/>
            </w:pPr>
            <w:r w:rsidRPr="00A84251">
              <w:t>2.36</w:t>
            </w:r>
          </w:p>
        </w:tc>
        <w:tc>
          <w:tcPr>
            <w:tcW w:w="2871" w:type="pct"/>
            <w:vAlign w:val="center"/>
          </w:tcPr>
          <w:p w14:paraId="2CA91A1C" w14:textId="77777777" w:rsidR="007363D1" w:rsidRPr="00A84251" w:rsidRDefault="007363D1" w:rsidP="00E224D9">
            <w:pPr>
              <w:keepNext/>
              <w:keepLines/>
              <w:spacing w:after="0"/>
              <w:jc w:val="center"/>
            </w:pPr>
            <w:r w:rsidRPr="00A84251">
              <w:t>50 – 100</w:t>
            </w:r>
          </w:p>
        </w:tc>
      </w:tr>
      <w:tr w:rsidR="007363D1" w:rsidRPr="00A84251" w14:paraId="3F932644" w14:textId="77777777" w:rsidTr="00FC3F10">
        <w:trPr>
          <w:cantSplit/>
          <w:trHeight w:val="279"/>
        </w:trPr>
        <w:tc>
          <w:tcPr>
            <w:tcW w:w="2129" w:type="pct"/>
            <w:vAlign w:val="center"/>
          </w:tcPr>
          <w:p w14:paraId="45ECF70C" w14:textId="77777777" w:rsidR="007363D1" w:rsidRPr="00A84251" w:rsidRDefault="007363D1" w:rsidP="00E224D9">
            <w:pPr>
              <w:keepNext/>
              <w:keepLines/>
              <w:spacing w:after="0"/>
              <w:jc w:val="center"/>
            </w:pPr>
            <w:r w:rsidRPr="00A84251">
              <w:t>0.60</w:t>
            </w:r>
          </w:p>
        </w:tc>
        <w:tc>
          <w:tcPr>
            <w:tcW w:w="2871" w:type="pct"/>
            <w:vAlign w:val="center"/>
          </w:tcPr>
          <w:p w14:paraId="2ECE68B1" w14:textId="77777777" w:rsidR="007363D1" w:rsidRPr="00A84251" w:rsidRDefault="007363D1" w:rsidP="00E224D9">
            <w:pPr>
              <w:keepNext/>
              <w:keepLines/>
              <w:spacing w:after="0"/>
              <w:jc w:val="center"/>
            </w:pPr>
            <w:r w:rsidRPr="00A84251">
              <w:t>20 – 90</w:t>
            </w:r>
          </w:p>
        </w:tc>
      </w:tr>
      <w:tr w:rsidR="007363D1" w:rsidRPr="00A84251" w14:paraId="7EA14F3B" w14:textId="77777777" w:rsidTr="00FC3F10">
        <w:trPr>
          <w:cantSplit/>
          <w:trHeight w:val="279"/>
        </w:trPr>
        <w:tc>
          <w:tcPr>
            <w:tcW w:w="2129" w:type="pct"/>
            <w:vAlign w:val="center"/>
          </w:tcPr>
          <w:p w14:paraId="0B2FE1FD" w14:textId="77777777" w:rsidR="007363D1" w:rsidRPr="00A84251" w:rsidRDefault="007363D1" w:rsidP="00E224D9">
            <w:pPr>
              <w:keepNext/>
              <w:keepLines/>
              <w:spacing w:after="0"/>
              <w:jc w:val="center"/>
            </w:pPr>
            <w:r w:rsidRPr="00A84251">
              <w:t>0.30</w:t>
            </w:r>
          </w:p>
        </w:tc>
        <w:tc>
          <w:tcPr>
            <w:tcW w:w="2871" w:type="pct"/>
            <w:vAlign w:val="center"/>
          </w:tcPr>
          <w:p w14:paraId="46FD4DDF" w14:textId="77777777" w:rsidR="007363D1" w:rsidRPr="00A84251" w:rsidRDefault="007363D1" w:rsidP="00E224D9">
            <w:pPr>
              <w:keepNext/>
              <w:keepLines/>
              <w:spacing w:after="0"/>
              <w:jc w:val="center"/>
            </w:pPr>
            <w:r w:rsidRPr="00A84251">
              <w:t>10 – 60</w:t>
            </w:r>
          </w:p>
        </w:tc>
      </w:tr>
      <w:tr w:rsidR="007363D1" w:rsidRPr="00A84251" w14:paraId="77822FA3" w14:textId="77777777" w:rsidTr="00FC3F10">
        <w:trPr>
          <w:cantSplit/>
          <w:trHeight w:val="279"/>
        </w:trPr>
        <w:tc>
          <w:tcPr>
            <w:tcW w:w="2129" w:type="pct"/>
            <w:vAlign w:val="center"/>
          </w:tcPr>
          <w:p w14:paraId="0D6987DE" w14:textId="77777777" w:rsidR="007363D1" w:rsidRPr="00A84251" w:rsidRDefault="007363D1" w:rsidP="00E224D9">
            <w:pPr>
              <w:keepNext/>
              <w:keepLines/>
              <w:spacing w:after="0"/>
              <w:jc w:val="center"/>
            </w:pPr>
            <w:r w:rsidRPr="00A84251">
              <w:t>0.15</w:t>
            </w:r>
          </w:p>
        </w:tc>
        <w:tc>
          <w:tcPr>
            <w:tcW w:w="2871" w:type="pct"/>
            <w:vAlign w:val="center"/>
          </w:tcPr>
          <w:p w14:paraId="248E05D3" w14:textId="77777777" w:rsidR="007363D1" w:rsidRPr="00A84251" w:rsidRDefault="007363D1" w:rsidP="00E224D9">
            <w:pPr>
              <w:keepNext/>
              <w:keepLines/>
              <w:spacing w:after="0"/>
              <w:jc w:val="center"/>
            </w:pPr>
            <w:r w:rsidRPr="00A84251">
              <w:t>0 – 25</w:t>
            </w:r>
          </w:p>
        </w:tc>
      </w:tr>
      <w:tr w:rsidR="007363D1" w:rsidRPr="00A84251" w14:paraId="7E27E4F9" w14:textId="77777777" w:rsidTr="00FC3F10">
        <w:trPr>
          <w:cantSplit/>
          <w:trHeight w:val="279"/>
        </w:trPr>
        <w:tc>
          <w:tcPr>
            <w:tcW w:w="2129" w:type="pct"/>
            <w:vAlign w:val="center"/>
          </w:tcPr>
          <w:p w14:paraId="586A8510" w14:textId="77777777" w:rsidR="007363D1" w:rsidRPr="00A84251" w:rsidRDefault="007363D1" w:rsidP="00E224D9">
            <w:pPr>
              <w:spacing w:after="0"/>
              <w:jc w:val="center"/>
            </w:pPr>
            <w:r w:rsidRPr="00A84251">
              <w:t>0.075</w:t>
            </w:r>
          </w:p>
        </w:tc>
        <w:tc>
          <w:tcPr>
            <w:tcW w:w="2871" w:type="pct"/>
            <w:vAlign w:val="center"/>
          </w:tcPr>
          <w:p w14:paraId="097F929A" w14:textId="77777777" w:rsidR="007363D1" w:rsidRPr="00A84251" w:rsidRDefault="007363D1" w:rsidP="00E224D9">
            <w:pPr>
              <w:spacing w:after="0"/>
              <w:jc w:val="center"/>
            </w:pPr>
            <w:r w:rsidRPr="00A84251">
              <w:t>0 – 10</w:t>
            </w:r>
          </w:p>
        </w:tc>
      </w:tr>
    </w:tbl>
    <w:p w14:paraId="5B882C27" w14:textId="77777777" w:rsidR="007363D1" w:rsidRPr="00797D15" w:rsidRDefault="007363D1" w:rsidP="007363D1">
      <w:pPr>
        <w:pStyle w:val="Heading3"/>
        <w:numPr>
          <w:ilvl w:val="2"/>
          <w:numId w:val="14"/>
        </w:numPr>
      </w:pPr>
      <w:bookmarkStart w:id="42" w:name="_Toc390823717"/>
      <w:bookmarkStart w:id="43" w:name="_Toc391429409"/>
      <w:bookmarkStart w:id="44" w:name="_Toc396035087"/>
      <w:bookmarkStart w:id="45" w:name="_Toc398800478"/>
      <w:r w:rsidRPr="00797D15">
        <w:t>Concrete</w:t>
      </w:r>
      <w:bookmarkEnd w:id="42"/>
      <w:bookmarkEnd w:id="43"/>
      <w:bookmarkEnd w:id="44"/>
      <w:bookmarkEnd w:id="45"/>
    </w:p>
    <w:p w14:paraId="1212AC36" w14:textId="77777777" w:rsidR="007363D1" w:rsidRPr="00A84251" w:rsidRDefault="007363D1" w:rsidP="007363D1">
      <w:r w:rsidRPr="00A84251">
        <w:t xml:space="preserve">Conform to the requirements of </w:t>
      </w:r>
      <w:r>
        <w:t>the MISCELLANEOUS CONCRETE WORKS</w:t>
      </w:r>
      <w:r w:rsidRPr="00A84251">
        <w:t xml:space="preserve"> Section.</w:t>
      </w:r>
    </w:p>
    <w:p w14:paraId="71655780" w14:textId="77777777" w:rsidR="007363D1" w:rsidRPr="00797D15" w:rsidRDefault="007363D1" w:rsidP="007363D1">
      <w:pPr>
        <w:pStyle w:val="Heading3"/>
        <w:numPr>
          <w:ilvl w:val="2"/>
          <w:numId w:val="14"/>
        </w:numPr>
      </w:pPr>
      <w:bookmarkStart w:id="46" w:name="_Toc390823718"/>
      <w:bookmarkStart w:id="47" w:name="_Toc391429410"/>
      <w:bookmarkStart w:id="48" w:name="_Toc396035088"/>
      <w:bookmarkStart w:id="49" w:name="_Toc398800479"/>
      <w:r w:rsidRPr="00797D15">
        <w:t>Mortar</w:t>
      </w:r>
      <w:bookmarkEnd w:id="46"/>
      <w:bookmarkEnd w:id="47"/>
      <w:bookmarkEnd w:id="48"/>
      <w:bookmarkEnd w:id="49"/>
    </w:p>
    <w:p w14:paraId="57DAB911" w14:textId="77777777" w:rsidR="007363D1" w:rsidRPr="00A84251" w:rsidRDefault="007363D1" w:rsidP="007363D1">
      <w:r w:rsidRPr="00A84251">
        <w:t>Use one part fresh cement and three parts clean sharp sand mixed with potable water to yield a stiff but workable mixture.</w:t>
      </w:r>
    </w:p>
    <w:p w14:paraId="7CFAACD8" w14:textId="77777777" w:rsidR="007363D1" w:rsidRPr="00797D15" w:rsidRDefault="007363D1" w:rsidP="007363D1">
      <w:pPr>
        <w:pStyle w:val="Heading3"/>
        <w:numPr>
          <w:ilvl w:val="2"/>
          <w:numId w:val="14"/>
        </w:numPr>
      </w:pPr>
      <w:bookmarkStart w:id="50" w:name="_Toc390823719"/>
      <w:bookmarkStart w:id="51" w:name="_Toc391429411"/>
      <w:bookmarkStart w:id="52" w:name="_Toc396035089"/>
      <w:bookmarkStart w:id="53" w:name="_Toc398800480"/>
      <w:r w:rsidRPr="00797D15">
        <w:t>Select Fill</w:t>
      </w:r>
      <w:bookmarkEnd w:id="50"/>
      <w:bookmarkEnd w:id="51"/>
      <w:bookmarkEnd w:id="52"/>
      <w:bookmarkEnd w:id="53"/>
    </w:p>
    <w:p w14:paraId="37C5DB59" w14:textId="77777777" w:rsidR="007363D1" w:rsidRPr="00A84251" w:rsidRDefault="007363D1" w:rsidP="007363D1">
      <w:r w:rsidRPr="00A84251">
        <w:t>Conform to the requirements of the EARTHWORKS Section.</w:t>
      </w:r>
    </w:p>
    <w:p w14:paraId="3C7CA8FE" w14:textId="77777777" w:rsidR="007363D1" w:rsidRPr="00797D15" w:rsidRDefault="007363D1" w:rsidP="007363D1">
      <w:pPr>
        <w:pStyle w:val="Heading2"/>
        <w:keepNext/>
        <w:widowControl/>
        <w:numPr>
          <w:ilvl w:val="1"/>
          <w:numId w:val="14"/>
        </w:numPr>
        <w:ind w:left="720" w:hanging="720"/>
      </w:pPr>
      <w:bookmarkStart w:id="54" w:name="_Toc390823720"/>
      <w:bookmarkStart w:id="55" w:name="_Toc391429412"/>
      <w:bookmarkStart w:id="56" w:name="_Toc396035090"/>
      <w:bookmarkStart w:id="57" w:name="_Toc398800481"/>
      <w:r w:rsidRPr="00797D15">
        <w:t>Construction Of Culverts And Structures</w:t>
      </w:r>
      <w:bookmarkEnd w:id="54"/>
      <w:bookmarkEnd w:id="55"/>
      <w:bookmarkEnd w:id="56"/>
      <w:bookmarkEnd w:id="57"/>
    </w:p>
    <w:p w14:paraId="156BF2F1" w14:textId="77777777" w:rsidR="007363D1" w:rsidRPr="00797D15" w:rsidRDefault="007363D1" w:rsidP="007363D1">
      <w:pPr>
        <w:pStyle w:val="Heading3"/>
        <w:numPr>
          <w:ilvl w:val="2"/>
          <w:numId w:val="14"/>
        </w:numPr>
      </w:pPr>
      <w:bookmarkStart w:id="58" w:name="_Toc390823721"/>
      <w:bookmarkStart w:id="59" w:name="_Toc391429413"/>
      <w:bookmarkStart w:id="60" w:name="_Toc396035091"/>
      <w:bookmarkStart w:id="61" w:name="_Toc398800482"/>
      <w:r w:rsidRPr="00797D15">
        <w:t xml:space="preserve">Setting </w:t>
      </w:r>
      <w:proofErr w:type="gramStart"/>
      <w:r w:rsidRPr="00797D15">
        <w:t>Out</w:t>
      </w:r>
      <w:proofErr w:type="gramEnd"/>
      <w:r w:rsidRPr="00797D15">
        <w:t xml:space="preserve"> – </w:t>
      </w:r>
      <w:bookmarkEnd w:id="58"/>
      <w:bookmarkEnd w:id="59"/>
      <w:bookmarkEnd w:id="60"/>
      <w:bookmarkEnd w:id="61"/>
      <w:r w:rsidRPr="00797D15">
        <w:t>Hold Point</w:t>
      </w:r>
    </w:p>
    <w:p w14:paraId="6953B2C8" w14:textId="77777777" w:rsidR="007363D1" w:rsidRPr="00A84251" w:rsidRDefault="007363D1" w:rsidP="007363D1">
      <w:r w:rsidRPr="00A84251">
        <w:t>Measure culvert length along the invert to the outside face of headwalls.</w:t>
      </w:r>
    </w:p>
    <w:p w14:paraId="4AFE9B71" w14:textId="77777777" w:rsidR="007363D1" w:rsidRPr="00A84251" w:rsidRDefault="007363D1" w:rsidP="007363D1">
      <w:r w:rsidRPr="00A84251">
        <w:lastRenderedPageBreak/>
        <w:t>Measure pits and/or manholes to the inside face of the wall.</w:t>
      </w:r>
    </w:p>
    <w:p w14:paraId="249E1066" w14:textId="77777777" w:rsidR="007363D1" w:rsidRPr="00A84251" w:rsidRDefault="007363D1" w:rsidP="007363D1">
      <w:r w:rsidRPr="00A84251">
        <w:t>Finished surface levels for kerbside structures are measured at the top of the kerb.</w:t>
      </w:r>
    </w:p>
    <w:p w14:paraId="5EE7E46E" w14:textId="77777777" w:rsidR="007363D1" w:rsidRPr="00A84251" w:rsidRDefault="007363D1" w:rsidP="007363D1">
      <w:r w:rsidRPr="00A84251">
        <w:t>Set out the culvert and/or structure with pegs before construction.</w:t>
      </w:r>
    </w:p>
    <w:p w14:paraId="013345D4" w14:textId="77777777" w:rsidR="007363D1" w:rsidRPr="00A84251" w:rsidRDefault="007363D1" w:rsidP="007363D1">
      <w:r w:rsidRPr="00D9033D">
        <w:rPr>
          <w:b/>
        </w:rPr>
        <w:t>Hold Point</w:t>
      </w:r>
      <w:r w:rsidRPr="00A84251">
        <w:t xml:space="preserve"> - Obtain the Superintendent's approval for the setting out before construction.</w:t>
      </w:r>
    </w:p>
    <w:p w14:paraId="270A7EC7" w14:textId="77777777" w:rsidR="007363D1" w:rsidRPr="00797D15" w:rsidRDefault="007363D1" w:rsidP="007363D1">
      <w:pPr>
        <w:pStyle w:val="Heading3"/>
        <w:numPr>
          <w:ilvl w:val="2"/>
          <w:numId w:val="14"/>
        </w:numPr>
      </w:pPr>
      <w:bookmarkStart w:id="62" w:name="_Toc390823722"/>
      <w:bookmarkStart w:id="63" w:name="_Toc391429414"/>
      <w:bookmarkStart w:id="64" w:name="_Toc396035092"/>
      <w:bookmarkStart w:id="65" w:name="_Toc398800483"/>
      <w:r w:rsidRPr="00797D15">
        <w:t xml:space="preserve">Excavation – </w:t>
      </w:r>
      <w:bookmarkEnd w:id="62"/>
      <w:bookmarkEnd w:id="63"/>
      <w:bookmarkEnd w:id="64"/>
      <w:bookmarkEnd w:id="65"/>
      <w:r w:rsidRPr="00797D15">
        <w:t>Witness point</w:t>
      </w:r>
    </w:p>
    <w:p w14:paraId="58AE6AF0" w14:textId="77777777" w:rsidR="007363D1" w:rsidRPr="00A84251" w:rsidRDefault="007363D1" w:rsidP="007363D1">
      <w:r w:rsidRPr="00A84251">
        <w:t xml:space="preserve">Excavate in whatever material </w:t>
      </w:r>
      <w:r>
        <w:t xml:space="preserve">is </w:t>
      </w:r>
      <w:r w:rsidRPr="00A84251">
        <w:t>encountered.</w:t>
      </w:r>
    </w:p>
    <w:p w14:paraId="36496BF1" w14:textId="77777777" w:rsidR="007363D1" w:rsidRPr="00A84251" w:rsidRDefault="007363D1" w:rsidP="007363D1">
      <w:r w:rsidRPr="00A84251">
        <w:t>Use of explosives shall be in accordance with the MISCELLANEOUS PROVISIONS Section.</w:t>
      </w:r>
    </w:p>
    <w:p w14:paraId="39BECA2D" w14:textId="77777777" w:rsidR="007363D1" w:rsidRPr="00A84251" w:rsidRDefault="007363D1" w:rsidP="007363D1">
      <w:r w:rsidRPr="00A84251">
        <w:t>Pump, bail, sheet, shore and brace as necessary.</w:t>
      </w:r>
    </w:p>
    <w:p w14:paraId="675F0114" w14:textId="77777777" w:rsidR="007363D1" w:rsidRPr="00A84251" w:rsidRDefault="007363D1" w:rsidP="007363D1">
      <w:r w:rsidRPr="00A84251">
        <w:t>Divert water when necessary.</w:t>
      </w:r>
    </w:p>
    <w:p w14:paraId="42B94936" w14:textId="77777777" w:rsidR="007363D1" w:rsidRPr="00A84251" w:rsidRDefault="007363D1" w:rsidP="007363D1">
      <w:r w:rsidRPr="00A84251">
        <w:t>Rectify foundations which are affected by rain or surface water entering the excavation.</w:t>
      </w:r>
    </w:p>
    <w:p w14:paraId="593A7A80" w14:textId="0280632E" w:rsidR="007363D1" w:rsidRDefault="007363D1" w:rsidP="007363D1">
      <w:r>
        <w:t xml:space="preserve">The total width of trench at and below the level of the top of the culvert shall be in accordance with the Department’s </w:t>
      </w:r>
      <w:r w:rsidR="00A55C7D">
        <w:t xml:space="preserve">civil </w:t>
      </w:r>
      <w:r>
        <w:t>standard drawings or the project drawings.</w:t>
      </w:r>
    </w:p>
    <w:p w14:paraId="337A7131" w14:textId="77777777" w:rsidR="007363D1" w:rsidRPr="00A84251" w:rsidRDefault="007363D1" w:rsidP="007363D1">
      <w:r w:rsidRPr="00A84251">
        <w:t>Backfill with select fill up to the specified level if the trench is exc</w:t>
      </w:r>
      <w:r>
        <w:t xml:space="preserve">avated too deep. </w:t>
      </w:r>
      <w:r w:rsidRPr="00A84251">
        <w:t>Any such backfilling shall be at the Contractor's expense.</w:t>
      </w:r>
    </w:p>
    <w:p w14:paraId="7B5545D4" w14:textId="77777777" w:rsidR="007363D1" w:rsidRPr="00A84251" w:rsidRDefault="007363D1" w:rsidP="007363D1">
      <w:r w:rsidRPr="00D9033D">
        <w:rPr>
          <w:b/>
        </w:rPr>
        <w:t>Witness point</w:t>
      </w:r>
      <w:r w:rsidRPr="00A84251">
        <w:t xml:space="preserve"> - Excavate unsuitable material below specified level if directed by the Superintendent.</w:t>
      </w:r>
    </w:p>
    <w:p w14:paraId="1164DED6" w14:textId="77777777" w:rsidR="007363D1" w:rsidRDefault="007363D1" w:rsidP="007363D1">
      <w:r w:rsidRPr="00A84251">
        <w:t>Replace with select fill, compacted as specified.</w:t>
      </w:r>
    </w:p>
    <w:p w14:paraId="65C5854A" w14:textId="77777777" w:rsidR="007363D1" w:rsidRPr="00797D15" w:rsidRDefault="007363D1" w:rsidP="007363D1">
      <w:pPr>
        <w:pStyle w:val="Heading3"/>
        <w:numPr>
          <w:ilvl w:val="2"/>
          <w:numId w:val="14"/>
        </w:numPr>
      </w:pPr>
      <w:bookmarkStart w:id="66" w:name="_Toc390823726"/>
      <w:bookmarkStart w:id="67" w:name="_Toc391429418"/>
      <w:bookmarkStart w:id="68" w:name="_Toc396035096"/>
      <w:bookmarkStart w:id="69" w:name="_Toc398800487"/>
      <w:r w:rsidRPr="00797D15">
        <w:t>Bedding</w:t>
      </w:r>
      <w:bookmarkEnd w:id="66"/>
      <w:bookmarkEnd w:id="67"/>
      <w:bookmarkEnd w:id="68"/>
      <w:bookmarkEnd w:id="69"/>
    </w:p>
    <w:p w14:paraId="65976802" w14:textId="77777777" w:rsidR="007363D1" w:rsidRPr="00A84251" w:rsidRDefault="007363D1" w:rsidP="007363D1">
      <w:r>
        <w:t>Place bedding 75 </w:t>
      </w:r>
      <w:r w:rsidRPr="00A84251">
        <w:t xml:space="preserve">mm compacted thickness for the </w:t>
      </w:r>
      <w:r>
        <w:t>full width of the trench or 0.6 </w:t>
      </w:r>
      <w:r w:rsidRPr="00A84251">
        <w:t>m greater than the width of the culvert for non</w:t>
      </w:r>
      <w:r w:rsidRPr="00A84251">
        <w:noBreakHyphen/>
        <w:t>trench conditions.</w:t>
      </w:r>
    </w:p>
    <w:p w14:paraId="7C7E05CA" w14:textId="77777777" w:rsidR="007363D1" w:rsidRPr="00A84251" w:rsidRDefault="007363D1" w:rsidP="007363D1">
      <w:r w:rsidRPr="00A84251">
        <w:t>Compact bedding to 90% relative compaction.</w:t>
      </w:r>
    </w:p>
    <w:p w14:paraId="09B11A43" w14:textId="77777777" w:rsidR="007363D1" w:rsidRPr="00A84251" w:rsidRDefault="007363D1" w:rsidP="007363D1">
      <w:r w:rsidRPr="00A84251">
        <w:t>Shape the bedding to hold pipes in position during compaction of additional fill.</w:t>
      </w:r>
    </w:p>
    <w:p w14:paraId="6A4923D3" w14:textId="12699A21" w:rsidR="007363D1" w:rsidRPr="00A84251" w:rsidRDefault="007363D1" w:rsidP="007363D1">
      <w:r>
        <w:t xml:space="preserve">Place and compact a further (haunching) layer of bedding in accordance with the Department’s </w:t>
      </w:r>
      <w:r w:rsidR="00227970">
        <w:t xml:space="preserve">civil </w:t>
      </w:r>
      <w:r>
        <w:t>standard drawings or the project drawings</w:t>
      </w:r>
      <w:r w:rsidR="00A55C7D">
        <w:t>,</w:t>
      </w:r>
      <w:r>
        <w:t xml:space="preserve"> and AS/NZS</w:t>
      </w:r>
      <w:r w:rsidR="00227970">
        <w:t> </w:t>
      </w:r>
      <w:r>
        <w:t>3725.</w:t>
      </w:r>
    </w:p>
    <w:p w14:paraId="12F04B4B" w14:textId="77777777" w:rsidR="007363D1" w:rsidRPr="00797D15" w:rsidRDefault="007363D1" w:rsidP="007363D1">
      <w:pPr>
        <w:pStyle w:val="Heading3"/>
        <w:numPr>
          <w:ilvl w:val="2"/>
          <w:numId w:val="14"/>
        </w:numPr>
      </w:pPr>
      <w:bookmarkStart w:id="70" w:name="_Toc390823723"/>
      <w:bookmarkStart w:id="71" w:name="_Toc391429415"/>
      <w:bookmarkStart w:id="72" w:name="_Toc396035093"/>
      <w:bookmarkStart w:id="73" w:name="_Toc398800484"/>
      <w:r w:rsidRPr="00797D15">
        <w:t>Culverts in Fill under Construction</w:t>
      </w:r>
      <w:bookmarkEnd w:id="70"/>
      <w:bookmarkEnd w:id="71"/>
      <w:bookmarkEnd w:id="72"/>
      <w:bookmarkEnd w:id="73"/>
    </w:p>
    <w:p w14:paraId="27853678" w14:textId="77777777" w:rsidR="007363D1" w:rsidRPr="000C7C10" w:rsidRDefault="007363D1" w:rsidP="007363D1">
      <w:r>
        <w:t xml:space="preserve">Refer to EARTHWORKS, </w:t>
      </w:r>
      <w:r>
        <w:rPr>
          <w:b/>
        </w:rPr>
        <w:t>Earthworks in Fill</w:t>
      </w:r>
      <w:r>
        <w:t xml:space="preserve"> clause, </w:t>
      </w:r>
      <w:r w:rsidRPr="00820D41">
        <w:rPr>
          <w:b/>
        </w:rPr>
        <w:t>Construction Methods</w:t>
      </w:r>
      <w:r>
        <w:t xml:space="preserve"> sub-clause, Compacted Layer Method paragraph.</w:t>
      </w:r>
    </w:p>
    <w:p w14:paraId="3C87523D" w14:textId="77777777" w:rsidR="007363D1" w:rsidRDefault="007363D1" w:rsidP="007363D1">
      <w:r w:rsidRPr="00876806">
        <w:t xml:space="preserve">Place and compact fill to </w:t>
      </w:r>
      <w:r w:rsidRPr="00A51D66">
        <w:t>Manufacturer</w:t>
      </w:r>
      <w:r>
        <w:t>’</w:t>
      </w:r>
      <w:r w:rsidRPr="00A51D66">
        <w:t>s</w:t>
      </w:r>
      <w:r>
        <w:t xml:space="preserve"> instructions and design specifications.</w:t>
      </w:r>
      <w:r w:rsidRPr="00876806">
        <w:t xml:space="preserve"> Use select fill.</w:t>
      </w:r>
    </w:p>
    <w:p w14:paraId="2E6AD44A" w14:textId="77777777" w:rsidR="007363D1" w:rsidRPr="008F099F" w:rsidRDefault="007363D1" w:rsidP="007363D1">
      <w:r w:rsidRPr="008F099F">
        <w:t>Manufacturer’s instructions and design specifications</w:t>
      </w:r>
      <w:r w:rsidRPr="008F099F">
        <w:tab/>
      </w:r>
      <w:r w:rsidRPr="008F099F">
        <w:rPr>
          <w:b/>
          <w:i/>
          <w:color w:val="984806"/>
        </w:rPr>
        <w:t>[enter data]</w:t>
      </w:r>
      <w:r>
        <w:rPr>
          <w:i/>
          <w:color w:val="984806"/>
        </w:rPr>
        <w:t xml:space="preserve"> </w:t>
      </w:r>
    </w:p>
    <w:p w14:paraId="535EE476" w14:textId="77777777" w:rsidR="007363D1" w:rsidRPr="008F099F" w:rsidRDefault="007363D1" w:rsidP="007363D1">
      <w:pPr>
        <w:pStyle w:val="guidenotes"/>
      </w:pPr>
      <w:r w:rsidRPr="008F099F">
        <w:t>[Add any additional requirements or any alteration to the reference text</w:t>
      </w:r>
      <w:r>
        <w:t>.</w:t>
      </w:r>
      <w:r w:rsidRPr="008F099F">
        <w:t>]</w:t>
      </w:r>
    </w:p>
    <w:p w14:paraId="7A6F6AF0" w14:textId="77777777" w:rsidR="007363D1" w:rsidRDefault="007363D1" w:rsidP="007363D1">
      <w:r>
        <w:t>Conform to Compacted Layer Method in EARTHWORKS.</w:t>
      </w:r>
    </w:p>
    <w:p w14:paraId="1F6684DB" w14:textId="0943A5E7" w:rsidR="007363D1" w:rsidRPr="00A84251" w:rsidRDefault="007363D1" w:rsidP="007363D1">
      <w:r>
        <w:t>E</w:t>
      </w:r>
      <w:r w:rsidRPr="00A84251">
        <w:t xml:space="preserve">xcavate the fill in accordance with the </w:t>
      </w:r>
      <w:r w:rsidRPr="00D76AA0">
        <w:rPr>
          <w:b/>
        </w:rPr>
        <w:t>Excavation</w:t>
      </w:r>
      <w:r w:rsidRPr="00A84251">
        <w:t xml:space="preserve"> </w:t>
      </w:r>
      <w:r>
        <w:t>sub-</w:t>
      </w:r>
      <w:r w:rsidRPr="00A84251">
        <w:t>clause</w:t>
      </w:r>
      <w:r>
        <w:t xml:space="preserve"> in this </w:t>
      </w:r>
      <w:r w:rsidR="00A12ED2">
        <w:t>clause</w:t>
      </w:r>
      <w:r w:rsidRPr="00A84251">
        <w:t xml:space="preserve"> to permit the </w:t>
      </w:r>
      <w:r w:rsidRPr="00A84251">
        <w:lastRenderedPageBreak/>
        <w:t>construction of the culvert.</w:t>
      </w:r>
    </w:p>
    <w:p w14:paraId="3B038F37" w14:textId="77777777" w:rsidR="007363D1" w:rsidRPr="00797D15" w:rsidRDefault="007363D1" w:rsidP="007363D1">
      <w:pPr>
        <w:pStyle w:val="Heading3"/>
        <w:numPr>
          <w:ilvl w:val="2"/>
          <w:numId w:val="14"/>
        </w:numPr>
      </w:pPr>
      <w:bookmarkStart w:id="74" w:name="_Toc390823724"/>
      <w:bookmarkStart w:id="75" w:name="_Toc391429416"/>
      <w:bookmarkStart w:id="76" w:name="_Toc396035094"/>
      <w:bookmarkStart w:id="77" w:name="_Toc398800485"/>
      <w:r w:rsidRPr="00797D15">
        <w:t>Construction Loading on Culverts</w:t>
      </w:r>
      <w:bookmarkEnd w:id="74"/>
      <w:bookmarkEnd w:id="75"/>
      <w:bookmarkEnd w:id="76"/>
      <w:bookmarkEnd w:id="77"/>
    </w:p>
    <w:p w14:paraId="1299F9AA" w14:textId="6C8EE94A" w:rsidR="007363D1" w:rsidRPr="00A84251" w:rsidRDefault="007363D1" w:rsidP="007363D1">
      <w:r w:rsidRPr="00A84251">
        <w:t>Provide the minimum compacted thickness of cover specified in the</w:t>
      </w:r>
      <w:r w:rsidRPr="00B40241">
        <w:rPr>
          <w:b/>
          <w:i/>
        </w:rPr>
        <w:t xml:space="preserve"> Table</w:t>
      </w:r>
      <w:r>
        <w:rPr>
          <w:b/>
          <w:i/>
        </w:rPr>
        <w:t xml:space="preserve"> -</w:t>
      </w:r>
      <w:r w:rsidRPr="00B40241">
        <w:rPr>
          <w:b/>
          <w:i/>
        </w:rPr>
        <w:t xml:space="preserve"> Minimum Required Cover Thickness</w:t>
      </w:r>
      <w:r w:rsidRPr="00BD170C">
        <w:rPr>
          <w:b/>
          <w:i/>
        </w:rPr>
        <w:t xml:space="preserve"> </w:t>
      </w:r>
      <w:r w:rsidR="00DE073C" w:rsidRPr="00BD170C">
        <w:rPr>
          <w:b/>
          <w:i/>
        </w:rPr>
        <w:t>(Metres)</w:t>
      </w:r>
      <w:r w:rsidR="00DE073C">
        <w:t xml:space="preserve"> </w:t>
      </w:r>
      <w:r w:rsidRPr="00A84251">
        <w:t>before allowing traffic to cross a culvert.</w:t>
      </w:r>
    </w:p>
    <w:p w14:paraId="380BA994" w14:textId="5345AE1B" w:rsidR="007363D1" w:rsidRPr="00A84251" w:rsidRDefault="007363D1" w:rsidP="007363D1">
      <w:r>
        <w:t>Do not permit construction vehicles having axle loads greater than 10 tonnes to cross large box culverts</w:t>
      </w:r>
      <w:r w:rsidR="00DC243E">
        <w:t>,</w:t>
      </w:r>
      <w:r>
        <w:t xml:space="preserve"> having spans greater than 1200 mm, or heights greater than 1200 mm</w:t>
      </w:r>
      <w:r w:rsidR="00DC243E">
        <w:t>,</w:t>
      </w:r>
      <w:r>
        <w:t xml:space="preserve"> under any depth of fill unless specific certification is provided by the culvert crown unit manufacturer that the culverts have been designed to cope with those loads.</w:t>
      </w:r>
    </w:p>
    <w:tbl>
      <w:tblPr>
        <w:tblW w:w="0" w:type="auto"/>
        <w:tblCellMar>
          <w:left w:w="107" w:type="dxa"/>
          <w:right w:w="107" w:type="dxa"/>
        </w:tblCellMar>
        <w:tblLook w:val="0000" w:firstRow="0" w:lastRow="0" w:firstColumn="0" w:lastColumn="0" w:noHBand="0" w:noVBand="0"/>
      </w:tblPr>
      <w:tblGrid>
        <w:gridCol w:w="2346"/>
        <w:gridCol w:w="785"/>
        <w:gridCol w:w="786"/>
        <w:gridCol w:w="771"/>
        <w:gridCol w:w="770"/>
        <w:gridCol w:w="770"/>
        <w:gridCol w:w="755"/>
        <w:gridCol w:w="2305"/>
      </w:tblGrid>
      <w:tr w:rsidR="007363D1" w:rsidRPr="00A84251" w14:paraId="5B75C344" w14:textId="77777777" w:rsidTr="00FC3F10">
        <w:trPr>
          <w:cantSplit/>
          <w:trHeight w:val="398"/>
        </w:trPr>
        <w:tc>
          <w:tcPr>
            <w:tcW w:w="0" w:type="auto"/>
            <w:gridSpan w:val="8"/>
            <w:tcBorders>
              <w:top w:val="single" w:sz="6" w:space="0" w:color="auto"/>
              <w:left w:val="single" w:sz="6" w:space="0" w:color="auto"/>
              <w:bottom w:val="single" w:sz="6" w:space="0" w:color="auto"/>
              <w:right w:val="single" w:sz="6" w:space="0" w:color="auto"/>
            </w:tcBorders>
            <w:vAlign w:val="center"/>
          </w:tcPr>
          <w:p w14:paraId="32755CCC" w14:textId="77777777" w:rsidR="007363D1" w:rsidRPr="00D576F4" w:rsidRDefault="007363D1" w:rsidP="00E224D9">
            <w:pPr>
              <w:keepNext/>
              <w:keepLines/>
              <w:spacing w:after="0"/>
              <w:rPr>
                <w:b/>
                <w:i/>
              </w:rPr>
            </w:pPr>
            <w:r w:rsidRPr="00D576F4">
              <w:rPr>
                <w:b/>
                <w:i/>
              </w:rPr>
              <w:t>Table – Minimum Required Cover Thickness (Metres)</w:t>
            </w:r>
          </w:p>
        </w:tc>
      </w:tr>
      <w:tr w:rsidR="007363D1" w:rsidRPr="00A84251" w14:paraId="0332D363" w14:textId="77777777" w:rsidTr="00BD170C">
        <w:trPr>
          <w:cantSplit/>
          <w:trHeight w:val="404"/>
        </w:trPr>
        <w:tc>
          <w:tcPr>
            <w:tcW w:w="0" w:type="auto"/>
            <w:vMerge w:val="restart"/>
            <w:tcBorders>
              <w:top w:val="single" w:sz="6" w:space="0" w:color="auto"/>
              <w:left w:val="single" w:sz="6" w:space="0" w:color="auto"/>
              <w:right w:val="single" w:sz="6" w:space="0" w:color="auto"/>
            </w:tcBorders>
            <w:vAlign w:val="center"/>
          </w:tcPr>
          <w:p w14:paraId="4FD0FAA4" w14:textId="77777777" w:rsidR="007363D1" w:rsidRPr="00797D15" w:rsidRDefault="007363D1" w:rsidP="00830DB8">
            <w:pPr>
              <w:keepNext/>
              <w:keepLines/>
              <w:spacing w:after="0"/>
              <w:jc w:val="center"/>
              <w:rPr>
                <w:b/>
              </w:rPr>
            </w:pPr>
            <w:r w:rsidRPr="00797D15">
              <w:rPr>
                <w:b/>
              </w:rPr>
              <w:t>Maximum Construction Vehicle Axle Load (Tonne)</w:t>
            </w:r>
          </w:p>
        </w:tc>
        <w:tc>
          <w:tcPr>
            <w:tcW w:w="0" w:type="auto"/>
            <w:gridSpan w:val="7"/>
            <w:tcBorders>
              <w:top w:val="single" w:sz="6" w:space="0" w:color="auto"/>
              <w:left w:val="single" w:sz="6" w:space="0" w:color="auto"/>
              <w:bottom w:val="single" w:sz="6" w:space="0" w:color="auto"/>
              <w:right w:val="single" w:sz="6" w:space="0" w:color="auto"/>
            </w:tcBorders>
            <w:vAlign w:val="center"/>
          </w:tcPr>
          <w:p w14:paraId="1F2C57D9" w14:textId="77777777" w:rsidR="007363D1" w:rsidRPr="00797D15" w:rsidRDefault="007363D1" w:rsidP="00830DB8">
            <w:pPr>
              <w:keepNext/>
              <w:keepLines/>
              <w:spacing w:after="0"/>
              <w:jc w:val="center"/>
              <w:rPr>
                <w:b/>
              </w:rPr>
            </w:pPr>
            <w:r w:rsidRPr="00797D15">
              <w:rPr>
                <w:b/>
              </w:rPr>
              <w:t>Type, Size And Class Of Culvert</w:t>
            </w:r>
          </w:p>
        </w:tc>
      </w:tr>
      <w:tr w:rsidR="007363D1" w:rsidRPr="00A84251" w14:paraId="334AEADC" w14:textId="77777777" w:rsidTr="00BD170C">
        <w:trPr>
          <w:cantSplit/>
        </w:trPr>
        <w:tc>
          <w:tcPr>
            <w:tcW w:w="0" w:type="auto"/>
            <w:vMerge/>
            <w:tcBorders>
              <w:left w:val="single" w:sz="6" w:space="0" w:color="auto"/>
              <w:right w:val="single" w:sz="6" w:space="0" w:color="auto"/>
            </w:tcBorders>
            <w:vAlign w:val="center"/>
          </w:tcPr>
          <w:p w14:paraId="4FE42F3E" w14:textId="77777777" w:rsidR="007363D1" w:rsidRPr="00797D15" w:rsidRDefault="007363D1" w:rsidP="00BD170C">
            <w:pPr>
              <w:keepNext/>
              <w:keepLines/>
              <w:spacing w:after="0"/>
              <w:jc w:val="center"/>
              <w:rPr>
                <w:b/>
              </w:rPr>
            </w:pPr>
          </w:p>
        </w:tc>
        <w:tc>
          <w:tcPr>
            <w:tcW w:w="0" w:type="auto"/>
            <w:gridSpan w:val="6"/>
            <w:tcBorders>
              <w:top w:val="single" w:sz="6" w:space="0" w:color="auto"/>
              <w:left w:val="single" w:sz="6" w:space="0" w:color="auto"/>
              <w:bottom w:val="single" w:sz="6" w:space="0" w:color="auto"/>
              <w:right w:val="single" w:sz="4" w:space="0" w:color="auto"/>
            </w:tcBorders>
            <w:vAlign w:val="center"/>
          </w:tcPr>
          <w:p w14:paraId="7FF532CA" w14:textId="77777777" w:rsidR="007363D1" w:rsidRPr="00797D15" w:rsidRDefault="007363D1" w:rsidP="00830DB8">
            <w:pPr>
              <w:keepNext/>
              <w:keepLines/>
              <w:spacing w:after="0"/>
              <w:jc w:val="center"/>
              <w:rPr>
                <w:b/>
              </w:rPr>
            </w:pPr>
            <w:r w:rsidRPr="00797D15">
              <w:rPr>
                <w:b/>
              </w:rPr>
              <w:t>Concrete Pipes, By Pipe Class</w:t>
            </w:r>
          </w:p>
        </w:tc>
        <w:tc>
          <w:tcPr>
            <w:tcW w:w="0" w:type="auto"/>
            <w:tcBorders>
              <w:top w:val="single" w:sz="4" w:space="0" w:color="auto"/>
              <w:left w:val="single" w:sz="4" w:space="0" w:color="auto"/>
              <w:bottom w:val="single" w:sz="4" w:space="0" w:color="auto"/>
              <w:right w:val="single" w:sz="4" w:space="0" w:color="auto"/>
            </w:tcBorders>
            <w:vAlign w:val="center"/>
          </w:tcPr>
          <w:p w14:paraId="7CAA7B58" w14:textId="77777777" w:rsidR="007363D1" w:rsidRPr="00797D15" w:rsidRDefault="007363D1" w:rsidP="00830DB8">
            <w:pPr>
              <w:keepNext/>
              <w:keepLines/>
              <w:spacing w:after="0"/>
              <w:jc w:val="center"/>
              <w:rPr>
                <w:b/>
              </w:rPr>
            </w:pPr>
            <w:r w:rsidRPr="00797D15">
              <w:rPr>
                <w:b/>
              </w:rPr>
              <w:t>Boxes</w:t>
            </w:r>
          </w:p>
        </w:tc>
      </w:tr>
      <w:tr w:rsidR="007363D1" w:rsidRPr="00A84251" w14:paraId="566D5D62" w14:textId="77777777" w:rsidTr="00BD170C">
        <w:trPr>
          <w:cantSplit/>
        </w:trPr>
        <w:tc>
          <w:tcPr>
            <w:tcW w:w="0" w:type="auto"/>
            <w:vMerge/>
            <w:tcBorders>
              <w:left w:val="single" w:sz="6" w:space="0" w:color="auto"/>
              <w:right w:val="single" w:sz="6" w:space="0" w:color="auto"/>
            </w:tcBorders>
            <w:vAlign w:val="center"/>
          </w:tcPr>
          <w:p w14:paraId="5C20D88E" w14:textId="77777777" w:rsidR="007363D1" w:rsidRPr="00797D15" w:rsidRDefault="007363D1" w:rsidP="00BD170C">
            <w:pPr>
              <w:keepNext/>
              <w:keepLines/>
              <w:spacing w:after="0"/>
              <w:jc w:val="center"/>
              <w:rPr>
                <w:b/>
              </w:rPr>
            </w:pPr>
          </w:p>
        </w:tc>
        <w:tc>
          <w:tcPr>
            <w:tcW w:w="0" w:type="auto"/>
            <w:gridSpan w:val="3"/>
            <w:tcBorders>
              <w:top w:val="single" w:sz="6" w:space="0" w:color="auto"/>
              <w:left w:val="single" w:sz="6" w:space="0" w:color="auto"/>
              <w:bottom w:val="single" w:sz="6" w:space="0" w:color="auto"/>
            </w:tcBorders>
            <w:vAlign w:val="center"/>
          </w:tcPr>
          <w:p w14:paraId="7320A93B" w14:textId="77777777" w:rsidR="007363D1" w:rsidRPr="00797D15" w:rsidRDefault="007363D1" w:rsidP="00830DB8">
            <w:pPr>
              <w:keepNext/>
              <w:keepLines/>
              <w:spacing w:after="0"/>
              <w:jc w:val="center"/>
              <w:rPr>
                <w:b/>
              </w:rPr>
            </w:pPr>
            <w:r w:rsidRPr="00797D15">
              <w:rPr>
                <w:b/>
              </w:rPr>
              <w:t>Less Than 1200 mm Nominal Diameter</w:t>
            </w:r>
          </w:p>
        </w:tc>
        <w:tc>
          <w:tcPr>
            <w:tcW w:w="0" w:type="auto"/>
            <w:gridSpan w:val="3"/>
            <w:tcBorders>
              <w:top w:val="single" w:sz="6" w:space="0" w:color="auto"/>
              <w:left w:val="single" w:sz="6" w:space="0" w:color="auto"/>
              <w:bottom w:val="single" w:sz="6" w:space="0" w:color="auto"/>
            </w:tcBorders>
            <w:vAlign w:val="center"/>
          </w:tcPr>
          <w:p w14:paraId="470940FB" w14:textId="77777777" w:rsidR="007363D1" w:rsidRPr="00797D15" w:rsidRDefault="007363D1" w:rsidP="00830DB8">
            <w:pPr>
              <w:keepNext/>
              <w:keepLines/>
              <w:spacing w:after="0"/>
              <w:jc w:val="center"/>
              <w:rPr>
                <w:b/>
              </w:rPr>
            </w:pPr>
            <w:r w:rsidRPr="00797D15">
              <w:rPr>
                <w:b/>
              </w:rPr>
              <w:t>1200 mm Nominal Diameter Or More</w:t>
            </w:r>
          </w:p>
        </w:tc>
        <w:tc>
          <w:tcPr>
            <w:tcW w:w="0" w:type="auto"/>
            <w:vMerge w:val="restart"/>
            <w:tcBorders>
              <w:top w:val="single" w:sz="6" w:space="0" w:color="auto"/>
              <w:left w:val="single" w:sz="6" w:space="0" w:color="auto"/>
              <w:right w:val="single" w:sz="6" w:space="0" w:color="auto"/>
            </w:tcBorders>
            <w:vAlign w:val="center"/>
          </w:tcPr>
          <w:p w14:paraId="490EC376" w14:textId="77777777" w:rsidR="007363D1" w:rsidRPr="00797D15" w:rsidRDefault="007363D1">
            <w:pPr>
              <w:keepNext/>
              <w:keepLines/>
              <w:spacing w:after="0"/>
              <w:jc w:val="center"/>
              <w:rPr>
                <w:b/>
              </w:rPr>
            </w:pPr>
            <w:r w:rsidRPr="00797D15">
              <w:rPr>
                <w:b/>
              </w:rPr>
              <w:t>Less Than 1200 mm Span, 1200 Height And 1600 Final Fill Height</w:t>
            </w:r>
          </w:p>
        </w:tc>
      </w:tr>
      <w:tr w:rsidR="007363D1" w:rsidRPr="00A84251" w14:paraId="2CC73008" w14:textId="77777777" w:rsidTr="00BD170C">
        <w:trPr>
          <w:cantSplit/>
        </w:trPr>
        <w:tc>
          <w:tcPr>
            <w:tcW w:w="0" w:type="auto"/>
            <w:vMerge/>
            <w:tcBorders>
              <w:left w:val="single" w:sz="6" w:space="0" w:color="auto"/>
              <w:right w:val="single" w:sz="6" w:space="0" w:color="auto"/>
            </w:tcBorders>
            <w:vAlign w:val="center"/>
          </w:tcPr>
          <w:p w14:paraId="3CA4586F" w14:textId="77777777" w:rsidR="007363D1" w:rsidRPr="00A84251" w:rsidRDefault="007363D1" w:rsidP="00BD170C">
            <w:pPr>
              <w:keepNext/>
              <w:keepLines/>
              <w:spacing w:after="0"/>
              <w:jc w:val="center"/>
            </w:pPr>
          </w:p>
        </w:tc>
        <w:tc>
          <w:tcPr>
            <w:tcW w:w="0" w:type="auto"/>
            <w:gridSpan w:val="6"/>
            <w:tcBorders>
              <w:top w:val="single" w:sz="6" w:space="0" w:color="auto"/>
              <w:left w:val="single" w:sz="6" w:space="0" w:color="auto"/>
              <w:bottom w:val="single" w:sz="6" w:space="0" w:color="auto"/>
            </w:tcBorders>
            <w:vAlign w:val="center"/>
          </w:tcPr>
          <w:p w14:paraId="07E18061" w14:textId="3473D4AB" w:rsidR="007363D1" w:rsidRPr="00797D15" w:rsidRDefault="007363D1" w:rsidP="00830DB8">
            <w:pPr>
              <w:keepNext/>
              <w:keepLines/>
              <w:spacing w:after="0"/>
              <w:jc w:val="center"/>
              <w:rPr>
                <w:b/>
              </w:rPr>
            </w:pPr>
            <w:r w:rsidRPr="00797D15">
              <w:rPr>
                <w:b/>
              </w:rPr>
              <w:t>Concrete Pipe Class</w:t>
            </w:r>
            <w:r w:rsidR="00830DB8">
              <w:rPr>
                <w:b/>
              </w:rPr>
              <w:t xml:space="preserve"> (AS/NZS 4058)</w:t>
            </w:r>
          </w:p>
        </w:tc>
        <w:tc>
          <w:tcPr>
            <w:tcW w:w="0" w:type="auto"/>
            <w:vMerge/>
            <w:tcBorders>
              <w:left w:val="single" w:sz="6" w:space="0" w:color="auto"/>
              <w:bottom w:val="single" w:sz="6" w:space="0" w:color="auto"/>
              <w:right w:val="single" w:sz="6" w:space="0" w:color="auto"/>
            </w:tcBorders>
            <w:vAlign w:val="center"/>
          </w:tcPr>
          <w:p w14:paraId="7106CBD9" w14:textId="77777777" w:rsidR="007363D1" w:rsidRPr="00A84251" w:rsidRDefault="007363D1" w:rsidP="00BD170C">
            <w:pPr>
              <w:keepNext/>
              <w:keepLines/>
              <w:spacing w:after="0"/>
              <w:jc w:val="center"/>
            </w:pPr>
          </w:p>
        </w:tc>
      </w:tr>
      <w:tr w:rsidR="007363D1" w:rsidRPr="00A84251" w14:paraId="6D1FD12E" w14:textId="77777777" w:rsidTr="00BD170C">
        <w:trPr>
          <w:cantSplit/>
        </w:trPr>
        <w:tc>
          <w:tcPr>
            <w:tcW w:w="0" w:type="auto"/>
            <w:vMerge/>
            <w:tcBorders>
              <w:left w:val="single" w:sz="6" w:space="0" w:color="auto"/>
              <w:bottom w:val="single" w:sz="6" w:space="0" w:color="auto"/>
              <w:right w:val="single" w:sz="6" w:space="0" w:color="auto"/>
            </w:tcBorders>
            <w:vAlign w:val="center"/>
          </w:tcPr>
          <w:p w14:paraId="708A6178" w14:textId="77777777" w:rsidR="007363D1" w:rsidRPr="00A84251" w:rsidRDefault="007363D1" w:rsidP="00BD170C">
            <w:pPr>
              <w:keepNext/>
              <w:keepLines/>
              <w:spacing w:after="0"/>
              <w:jc w:val="center"/>
            </w:pPr>
          </w:p>
        </w:tc>
        <w:tc>
          <w:tcPr>
            <w:tcW w:w="0" w:type="auto"/>
            <w:tcBorders>
              <w:top w:val="single" w:sz="6" w:space="0" w:color="auto"/>
              <w:left w:val="single" w:sz="6" w:space="0" w:color="auto"/>
              <w:bottom w:val="single" w:sz="6" w:space="0" w:color="auto"/>
              <w:right w:val="single" w:sz="4" w:space="0" w:color="auto"/>
            </w:tcBorders>
            <w:vAlign w:val="center"/>
          </w:tcPr>
          <w:p w14:paraId="07CA2C23" w14:textId="77777777" w:rsidR="007363D1" w:rsidRPr="00D576F4" w:rsidRDefault="007363D1" w:rsidP="00830DB8">
            <w:pPr>
              <w:keepNext/>
              <w:keepLines/>
              <w:spacing w:after="0"/>
              <w:jc w:val="center"/>
              <w:rPr>
                <w:b/>
              </w:rPr>
            </w:pPr>
            <w:r w:rsidRPr="00D576F4">
              <w:rPr>
                <w:b/>
              </w:rPr>
              <w:t>X(2)</w:t>
            </w:r>
          </w:p>
        </w:tc>
        <w:tc>
          <w:tcPr>
            <w:tcW w:w="0" w:type="auto"/>
            <w:tcBorders>
              <w:top w:val="single" w:sz="6" w:space="0" w:color="auto"/>
              <w:left w:val="nil"/>
              <w:bottom w:val="single" w:sz="6" w:space="0" w:color="auto"/>
              <w:right w:val="single" w:sz="4" w:space="0" w:color="auto"/>
            </w:tcBorders>
            <w:vAlign w:val="center"/>
          </w:tcPr>
          <w:p w14:paraId="720BF1C9" w14:textId="77777777" w:rsidR="007363D1" w:rsidRPr="00D576F4" w:rsidRDefault="007363D1" w:rsidP="00830DB8">
            <w:pPr>
              <w:keepNext/>
              <w:keepLines/>
              <w:spacing w:after="0"/>
              <w:jc w:val="center"/>
              <w:rPr>
                <w:b/>
              </w:rPr>
            </w:pPr>
            <w:r w:rsidRPr="00D576F4">
              <w:rPr>
                <w:b/>
              </w:rPr>
              <w:t>Y(3)</w:t>
            </w:r>
          </w:p>
        </w:tc>
        <w:tc>
          <w:tcPr>
            <w:tcW w:w="0" w:type="auto"/>
            <w:tcBorders>
              <w:top w:val="single" w:sz="6" w:space="0" w:color="auto"/>
              <w:left w:val="nil"/>
              <w:bottom w:val="single" w:sz="6" w:space="0" w:color="auto"/>
              <w:right w:val="single" w:sz="6" w:space="0" w:color="auto"/>
            </w:tcBorders>
            <w:vAlign w:val="center"/>
          </w:tcPr>
          <w:p w14:paraId="4F479944" w14:textId="77777777" w:rsidR="007363D1" w:rsidRPr="00D576F4" w:rsidRDefault="007363D1">
            <w:pPr>
              <w:keepNext/>
              <w:keepLines/>
              <w:spacing w:after="0"/>
              <w:jc w:val="center"/>
              <w:rPr>
                <w:b/>
              </w:rPr>
            </w:pPr>
            <w:r w:rsidRPr="00D576F4">
              <w:rPr>
                <w:b/>
              </w:rPr>
              <w:t>Z(4)</w:t>
            </w:r>
          </w:p>
        </w:tc>
        <w:tc>
          <w:tcPr>
            <w:tcW w:w="0" w:type="auto"/>
            <w:tcBorders>
              <w:top w:val="single" w:sz="6" w:space="0" w:color="auto"/>
              <w:bottom w:val="single" w:sz="6" w:space="0" w:color="auto"/>
              <w:right w:val="single" w:sz="4" w:space="0" w:color="auto"/>
            </w:tcBorders>
            <w:vAlign w:val="center"/>
          </w:tcPr>
          <w:p w14:paraId="08CF9940" w14:textId="77777777" w:rsidR="007363D1" w:rsidRPr="00D576F4" w:rsidRDefault="007363D1">
            <w:pPr>
              <w:keepNext/>
              <w:keepLines/>
              <w:spacing w:after="0"/>
              <w:jc w:val="center"/>
              <w:rPr>
                <w:b/>
              </w:rPr>
            </w:pPr>
            <w:r w:rsidRPr="00D576F4">
              <w:rPr>
                <w:b/>
              </w:rPr>
              <w:t>X(2)</w:t>
            </w:r>
          </w:p>
        </w:tc>
        <w:tc>
          <w:tcPr>
            <w:tcW w:w="0" w:type="auto"/>
            <w:tcBorders>
              <w:top w:val="single" w:sz="6" w:space="0" w:color="auto"/>
              <w:left w:val="nil"/>
              <w:bottom w:val="single" w:sz="6" w:space="0" w:color="auto"/>
              <w:right w:val="single" w:sz="4" w:space="0" w:color="auto"/>
            </w:tcBorders>
            <w:vAlign w:val="center"/>
          </w:tcPr>
          <w:p w14:paraId="1F36F409" w14:textId="77777777" w:rsidR="007363D1" w:rsidRPr="00D576F4" w:rsidRDefault="007363D1">
            <w:pPr>
              <w:keepNext/>
              <w:keepLines/>
              <w:spacing w:after="0"/>
              <w:jc w:val="center"/>
              <w:rPr>
                <w:b/>
              </w:rPr>
            </w:pPr>
            <w:r w:rsidRPr="00D576F4">
              <w:rPr>
                <w:b/>
              </w:rPr>
              <w:t>Y(3)</w:t>
            </w:r>
          </w:p>
        </w:tc>
        <w:tc>
          <w:tcPr>
            <w:tcW w:w="0" w:type="auto"/>
            <w:tcBorders>
              <w:top w:val="single" w:sz="6" w:space="0" w:color="auto"/>
              <w:left w:val="nil"/>
              <w:bottom w:val="single" w:sz="6" w:space="0" w:color="auto"/>
              <w:right w:val="single" w:sz="6" w:space="0" w:color="auto"/>
            </w:tcBorders>
            <w:vAlign w:val="center"/>
          </w:tcPr>
          <w:p w14:paraId="1A3CB133" w14:textId="77777777" w:rsidR="007363D1" w:rsidRPr="00D576F4" w:rsidRDefault="007363D1">
            <w:pPr>
              <w:keepNext/>
              <w:keepLines/>
              <w:spacing w:after="0"/>
              <w:jc w:val="center"/>
              <w:rPr>
                <w:b/>
              </w:rPr>
            </w:pPr>
            <w:r w:rsidRPr="00D576F4">
              <w:rPr>
                <w:b/>
              </w:rPr>
              <w:t>Z(4)</w:t>
            </w:r>
          </w:p>
        </w:tc>
        <w:tc>
          <w:tcPr>
            <w:tcW w:w="0" w:type="auto"/>
            <w:tcBorders>
              <w:top w:val="single" w:sz="6" w:space="0" w:color="auto"/>
              <w:bottom w:val="single" w:sz="6" w:space="0" w:color="auto"/>
              <w:right w:val="single" w:sz="6" w:space="0" w:color="auto"/>
            </w:tcBorders>
            <w:vAlign w:val="center"/>
          </w:tcPr>
          <w:p w14:paraId="2566A049" w14:textId="77777777" w:rsidR="007363D1" w:rsidRPr="00A84251" w:rsidRDefault="007363D1">
            <w:pPr>
              <w:keepNext/>
              <w:keepLines/>
              <w:spacing w:after="0"/>
              <w:jc w:val="center"/>
            </w:pPr>
          </w:p>
        </w:tc>
      </w:tr>
      <w:tr w:rsidR="007363D1" w:rsidRPr="00A84251" w14:paraId="05EC60C5" w14:textId="77777777" w:rsidTr="00BD170C">
        <w:trPr>
          <w:cantSplit/>
        </w:trPr>
        <w:tc>
          <w:tcPr>
            <w:tcW w:w="0" w:type="auto"/>
            <w:tcBorders>
              <w:top w:val="single" w:sz="6" w:space="0" w:color="auto"/>
              <w:left w:val="single" w:sz="6" w:space="0" w:color="auto"/>
              <w:bottom w:val="single" w:sz="6" w:space="0" w:color="auto"/>
            </w:tcBorders>
            <w:vAlign w:val="center"/>
          </w:tcPr>
          <w:p w14:paraId="78A8C88B" w14:textId="77777777" w:rsidR="007363D1" w:rsidRPr="00797D15" w:rsidRDefault="007363D1" w:rsidP="00830DB8">
            <w:pPr>
              <w:keepNext/>
              <w:keepLines/>
              <w:spacing w:after="0"/>
              <w:jc w:val="center"/>
              <w:rPr>
                <w:b/>
              </w:rPr>
            </w:pPr>
            <w:r w:rsidRPr="00797D15">
              <w:rPr>
                <w:b/>
              </w:rPr>
              <w:t>9</w:t>
            </w:r>
          </w:p>
        </w:tc>
        <w:tc>
          <w:tcPr>
            <w:tcW w:w="0" w:type="auto"/>
            <w:tcBorders>
              <w:top w:val="single" w:sz="6" w:space="0" w:color="auto"/>
              <w:left w:val="single" w:sz="6" w:space="0" w:color="auto"/>
              <w:bottom w:val="single" w:sz="6" w:space="0" w:color="auto"/>
              <w:right w:val="single" w:sz="4" w:space="0" w:color="auto"/>
            </w:tcBorders>
            <w:vAlign w:val="center"/>
          </w:tcPr>
          <w:p w14:paraId="7E227FFE" w14:textId="77777777" w:rsidR="007363D1" w:rsidRPr="00A84251" w:rsidRDefault="007363D1" w:rsidP="00830DB8">
            <w:pPr>
              <w:keepNext/>
              <w:keepLines/>
              <w:spacing w:after="0"/>
              <w:jc w:val="center"/>
            </w:pPr>
            <w:r w:rsidRPr="00A84251">
              <w:t>0.4</w:t>
            </w:r>
          </w:p>
        </w:tc>
        <w:tc>
          <w:tcPr>
            <w:tcW w:w="0" w:type="auto"/>
            <w:tcBorders>
              <w:top w:val="single" w:sz="6" w:space="0" w:color="auto"/>
              <w:left w:val="nil"/>
              <w:bottom w:val="single" w:sz="6" w:space="0" w:color="auto"/>
              <w:right w:val="single" w:sz="4" w:space="0" w:color="auto"/>
            </w:tcBorders>
            <w:vAlign w:val="center"/>
          </w:tcPr>
          <w:p w14:paraId="0C952B16" w14:textId="77777777" w:rsidR="007363D1" w:rsidRPr="00A84251" w:rsidRDefault="007363D1">
            <w:pPr>
              <w:keepNext/>
              <w:keepLines/>
              <w:spacing w:after="0"/>
              <w:jc w:val="center"/>
            </w:pPr>
            <w:r w:rsidRPr="00A84251">
              <w:t>0.4</w:t>
            </w:r>
          </w:p>
        </w:tc>
        <w:tc>
          <w:tcPr>
            <w:tcW w:w="0" w:type="auto"/>
            <w:tcBorders>
              <w:top w:val="single" w:sz="6" w:space="0" w:color="auto"/>
              <w:left w:val="nil"/>
              <w:bottom w:val="single" w:sz="6" w:space="0" w:color="auto"/>
              <w:right w:val="single" w:sz="6" w:space="0" w:color="auto"/>
            </w:tcBorders>
            <w:vAlign w:val="center"/>
          </w:tcPr>
          <w:p w14:paraId="51A2AF8D" w14:textId="77777777" w:rsidR="007363D1" w:rsidRPr="00A84251" w:rsidRDefault="007363D1">
            <w:pPr>
              <w:keepNext/>
              <w:keepLines/>
              <w:spacing w:after="0"/>
              <w:jc w:val="center"/>
            </w:pPr>
            <w:r w:rsidRPr="00A84251">
              <w:t>0.4</w:t>
            </w:r>
          </w:p>
        </w:tc>
        <w:tc>
          <w:tcPr>
            <w:tcW w:w="0" w:type="auto"/>
            <w:tcBorders>
              <w:top w:val="single" w:sz="6" w:space="0" w:color="auto"/>
              <w:bottom w:val="single" w:sz="6" w:space="0" w:color="auto"/>
              <w:right w:val="single" w:sz="4" w:space="0" w:color="auto"/>
            </w:tcBorders>
            <w:vAlign w:val="center"/>
          </w:tcPr>
          <w:p w14:paraId="693595C7" w14:textId="77777777" w:rsidR="007363D1" w:rsidRPr="00A84251" w:rsidRDefault="007363D1">
            <w:pPr>
              <w:keepNext/>
              <w:keepLines/>
              <w:spacing w:after="0"/>
              <w:jc w:val="center"/>
            </w:pPr>
            <w:r w:rsidRPr="00A84251">
              <w:t>0.4</w:t>
            </w:r>
          </w:p>
        </w:tc>
        <w:tc>
          <w:tcPr>
            <w:tcW w:w="0" w:type="auto"/>
            <w:tcBorders>
              <w:top w:val="single" w:sz="6" w:space="0" w:color="auto"/>
              <w:left w:val="nil"/>
              <w:bottom w:val="single" w:sz="6" w:space="0" w:color="auto"/>
              <w:right w:val="single" w:sz="4" w:space="0" w:color="auto"/>
            </w:tcBorders>
            <w:vAlign w:val="center"/>
          </w:tcPr>
          <w:p w14:paraId="47BFE02A" w14:textId="77777777" w:rsidR="007363D1" w:rsidRPr="00A84251" w:rsidRDefault="007363D1">
            <w:pPr>
              <w:keepNext/>
              <w:keepLines/>
              <w:spacing w:after="0"/>
              <w:jc w:val="center"/>
            </w:pPr>
            <w:r w:rsidRPr="00A84251">
              <w:t>0.4</w:t>
            </w:r>
          </w:p>
        </w:tc>
        <w:tc>
          <w:tcPr>
            <w:tcW w:w="0" w:type="auto"/>
            <w:tcBorders>
              <w:top w:val="single" w:sz="6" w:space="0" w:color="auto"/>
              <w:left w:val="nil"/>
              <w:bottom w:val="single" w:sz="6" w:space="0" w:color="auto"/>
              <w:right w:val="single" w:sz="6" w:space="0" w:color="auto"/>
            </w:tcBorders>
            <w:vAlign w:val="center"/>
          </w:tcPr>
          <w:p w14:paraId="2707822D" w14:textId="77777777" w:rsidR="007363D1" w:rsidRPr="00A84251" w:rsidRDefault="007363D1">
            <w:pPr>
              <w:keepNext/>
              <w:keepLines/>
              <w:spacing w:after="0"/>
              <w:jc w:val="center"/>
            </w:pPr>
            <w:r w:rsidRPr="00A84251">
              <w:t>0.4</w:t>
            </w:r>
          </w:p>
        </w:tc>
        <w:tc>
          <w:tcPr>
            <w:tcW w:w="0" w:type="auto"/>
            <w:tcBorders>
              <w:top w:val="single" w:sz="6" w:space="0" w:color="auto"/>
              <w:bottom w:val="single" w:sz="6" w:space="0" w:color="auto"/>
              <w:right w:val="single" w:sz="6" w:space="0" w:color="auto"/>
            </w:tcBorders>
            <w:vAlign w:val="center"/>
          </w:tcPr>
          <w:p w14:paraId="6619C6CC" w14:textId="77777777" w:rsidR="007363D1" w:rsidRPr="00A84251" w:rsidRDefault="007363D1">
            <w:pPr>
              <w:keepNext/>
              <w:keepLines/>
              <w:spacing w:after="0"/>
              <w:jc w:val="center"/>
            </w:pPr>
            <w:r>
              <w:t>0.1</w:t>
            </w:r>
          </w:p>
        </w:tc>
      </w:tr>
      <w:tr w:rsidR="007363D1" w:rsidRPr="00A84251" w14:paraId="15C13798" w14:textId="77777777" w:rsidTr="00BD170C">
        <w:trPr>
          <w:cantSplit/>
        </w:trPr>
        <w:tc>
          <w:tcPr>
            <w:tcW w:w="0" w:type="auto"/>
            <w:tcBorders>
              <w:top w:val="single" w:sz="6" w:space="0" w:color="auto"/>
              <w:left w:val="single" w:sz="6" w:space="0" w:color="auto"/>
              <w:bottom w:val="single" w:sz="6" w:space="0" w:color="auto"/>
            </w:tcBorders>
            <w:vAlign w:val="center"/>
          </w:tcPr>
          <w:p w14:paraId="5849252E" w14:textId="77777777" w:rsidR="007363D1" w:rsidRPr="00797D15" w:rsidRDefault="007363D1" w:rsidP="00830DB8">
            <w:pPr>
              <w:keepNext/>
              <w:keepLines/>
              <w:spacing w:after="0"/>
              <w:jc w:val="center"/>
              <w:rPr>
                <w:b/>
              </w:rPr>
            </w:pPr>
            <w:r w:rsidRPr="00797D15">
              <w:rPr>
                <w:b/>
              </w:rPr>
              <w:t>20</w:t>
            </w:r>
          </w:p>
        </w:tc>
        <w:tc>
          <w:tcPr>
            <w:tcW w:w="0" w:type="auto"/>
            <w:tcBorders>
              <w:top w:val="single" w:sz="6" w:space="0" w:color="auto"/>
              <w:left w:val="single" w:sz="6" w:space="0" w:color="auto"/>
              <w:bottom w:val="single" w:sz="6" w:space="0" w:color="auto"/>
              <w:right w:val="single" w:sz="4" w:space="0" w:color="auto"/>
            </w:tcBorders>
            <w:vAlign w:val="center"/>
          </w:tcPr>
          <w:p w14:paraId="092437B9" w14:textId="77777777" w:rsidR="007363D1" w:rsidRPr="00A84251" w:rsidRDefault="007363D1" w:rsidP="00830DB8">
            <w:pPr>
              <w:keepNext/>
              <w:keepLines/>
              <w:spacing w:after="0"/>
              <w:jc w:val="center"/>
            </w:pPr>
            <w:r w:rsidRPr="00A84251">
              <w:t>0.8</w:t>
            </w:r>
          </w:p>
        </w:tc>
        <w:tc>
          <w:tcPr>
            <w:tcW w:w="0" w:type="auto"/>
            <w:tcBorders>
              <w:top w:val="single" w:sz="6" w:space="0" w:color="auto"/>
              <w:left w:val="nil"/>
              <w:bottom w:val="single" w:sz="6" w:space="0" w:color="auto"/>
              <w:right w:val="single" w:sz="4" w:space="0" w:color="auto"/>
            </w:tcBorders>
            <w:vAlign w:val="center"/>
          </w:tcPr>
          <w:p w14:paraId="4D7A57CC" w14:textId="77777777" w:rsidR="007363D1" w:rsidRPr="00A84251" w:rsidRDefault="007363D1">
            <w:pPr>
              <w:keepNext/>
              <w:keepLines/>
              <w:spacing w:after="0"/>
              <w:jc w:val="center"/>
            </w:pPr>
            <w:r w:rsidRPr="00A84251">
              <w:t>0.6</w:t>
            </w:r>
          </w:p>
        </w:tc>
        <w:tc>
          <w:tcPr>
            <w:tcW w:w="0" w:type="auto"/>
            <w:tcBorders>
              <w:top w:val="single" w:sz="6" w:space="0" w:color="auto"/>
              <w:left w:val="nil"/>
              <w:bottom w:val="single" w:sz="6" w:space="0" w:color="auto"/>
              <w:right w:val="single" w:sz="6" w:space="0" w:color="auto"/>
            </w:tcBorders>
            <w:vAlign w:val="center"/>
          </w:tcPr>
          <w:p w14:paraId="698711A9" w14:textId="77777777" w:rsidR="007363D1" w:rsidRPr="00A84251" w:rsidRDefault="007363D1">
            <w:pPr>
              <w:keepNext/>
              <w:keepLines/>
              <w:spacing w:after="0"/>
              <w:jc w:val="center"/>
            </w:pPr>
            <w:r w:rsidRPr="00A84251">
              <w:t>0.4</w:t>
            </w:r>
          </w:p>
        </w:tc>
        <w:tc>
          <w:tcPr>
            <w:tcW w:w="0" w:type="auto"/>
            <w:tcBorders>
              <w:top w:val="single" w:sz="6" w:space="0" w:color="auto"/>
              <w:bottom w:val="single" w:sz="6" w:space="0" w:color="auto"/>
              <w:right w:val="single" w:sz="4" w:space="0" w:color="auto"/>
            </w:tcBorders>
            <w:vAlign w:val="center"/>
          </w:tcPr>
          <w:p w14:paraId="7DBD7774" w14:textId="77777777" w:rsidR="007363D1" w:rsidRPr="00A84251" w:rsidRDefault="007363D1">
            <w:pPr>
              <w:keepNext/>
              <w:keepLines/>
              <w:spacing w:after="0"/>
              <w:jc w:val="center"/>
            </w:pPr>
            <w:r w:rsidRPr="00A84251">
              <w:t>0.5</w:t>
            </w:r>
          </w:p>
        </w:tc>
        <w:tc>
          <w:tcPr>
            <w:tcW w:w="0" w:type="auto"/>
            <w:tcBorders>
              <w:top w:val="single" w:sz="6" w:space="0" w:color="auto"/>
              <w:left w:val="nil"/>
              <w:bottom w:val="single" w:sz="6" w:space="0" w:color="auto"/>
              <w:right w:val="single" w:sz="4" w:space="0" w:color="auto"/>
            </w:tcBorders>
            <w:vAlign w:val="center"/>
          </w:tcPr>
          <w:p w14:paraId="689C8F08" w14:textId="77777777" w:rsidR="007363D1" w:rsidRPr="00A84251" w:rsidRDefault="007363D1">
            <w:pPr>
              <w:keepNext/>
              <w:keepLines/>
              <w:spacing w:after="0"/>
              <w:jc w:val="center"/>
            </w:pPr>
            <w:r w:rsidRPr="00A84251">
              <w:t>0.4</w:t>
            </w:r>
          </w:p>
        </w:tc>
        <w:tc>
          <w:tcPr>
            <w:tcW w:w="0" w:type="auto"/>
            <w:tcBorders>
              <w:top w:val="single" w:sz="6" w:space="0" w:color="auto"/>
              <w:left w:val="nil"/>
              <w:bottom w:val="single" w:sz="6" w:space="0" w:color="auto"/>
              <w:right w:val="single" w:sz="6" w:space="0" w:color="auto"/>
            </w:tcBorders>
            <w:vAlign w:val="center"/>
          </w:tcPr>
          <w:p w14:paraId="59280357" w14:textId="77777777" w:rsidR="007363D1" w:rsidRPr="00A84251" w:rsidRDefault="007363D1">
            <w:pPr>
              <w:keepNext/>
              <w:keepLines/>
              <w:spacing w:after="0"/>
              <w:jc w:val="center"/>
            </w:pPr>
            <w:r w:rsidRPr="00A84251">
              <w:t>0.4</w:t>
            </w:r>
          </w:p>
        </w:tc>
        <w:tc>
          <w:tcPr>
            <w:tcW w:w="0" w:type="auto"/>
            <w:tcBorders>
              <w:top w:val="single" w:sz="6" w:space="0" w:color="auto"/>
              <w:bottom w:val="single" w:sz="6" w:space="0" w:color="auto"/>
              <w:right w:val="single" w:sz="6" w:space="0" w:color="auto"/>
            </w:tcBorders>
            <w:vAlign w:val="center"/>
          </w:tcPr>
          <w:p w14:paraId="6F150DD9" w14:textId="77777777" w:rsidR="007363D1" w:rsidRPr="00A84251" w:rsidRDefault="007363D1">
            <w:pPr>
              <w:keepNext/>
              <w:keepLines/>
              <w:spacing w:after="0"/>
              <w:jc w:val="center"/>
            </w:pPr>
            <w:r>
              <w:t>0.6</w:t>
            </w:r>
          </w:p>
        </w:tc>
      </w:tr>
      <w:tr w:rsidR="007363D1" w:rsidRPr="00A84251" w14:paraId="115E6EE5" w14:textId="77777777" w:rsidTr="00BD170C">
        <w:trPr>
          <w:cantSplit/>
          <w:trHeight w:val="72"/>
        </w:trPr>
        <w:tc>
          <w:tcPr>
            <w:tcW w:w="0" w:type="auto"/>
            <w:tcBorders>
              <w:top w:val="single" w:sz="6" w:space="0" w:color="auto"/>
              <w:left w:val="single" w:sz="6" w:space="0" w:color="auto"/>
              <w:bottom w:val="single" w:sz="6" w:space="0" w:color="auto"/>
            </w:tcBorders>
            <w:vAlign w:val="center"/>
          </w:tcPr>
          <w:p w14:paraId="307E7C24" w14:textId="77777777" w:rsidR="007363D1" w:rsidRPr="00797D15" w:rsidRDefault="007363D1" w:rsidP="00830DB8">
            <w:pPr>
              <w:keepNext/>
              <w:keepLines/>
              <w:spacing w:after="0"/>
              <w:jc w:val="center"/>
              <w:rPr>
                <w:b/>
              </w:rPr>
            </w:pPr>
            <w:r w:rsidRPr="00797D15">
              <w:rPr>
                <w:b/>
              </w:rPr>
              <w:t>35</w:t>
            </w:r>
          </w:p>
        </w:tc>
        <w:tc>
          <w:tcPr>
            <w:tcW w:w="0" w:type="auto"/>
            <w:tcBorders>
              <w:top w:val="single" w:sz="6" w:space="0" w:color="auto"/>
              <w:left w:val="single" w:sz="6" w:space="0" w:color="auto"/>
              <w:bottom w:val="single" w:sz="6" w:space="0" w:color="auto"/>
              <w:right w:val="single" w:sz="4" w:space="0" w:color="auto"/>
            </w:tcBorders>
            <w:vAlign w:val="center"/>
          </w:tcPr>
          <w:p w14:paraId="7F6D3436" w14:textId="77777777" w:rsidR="007363D1" w:rsidRPr="00A84251" w:rsidRDefault="007363D1" w:rsidP="00830DB8">
            <w:pPr>
              <w:keepNext/>
              <w:keepLines/>
              <w:spacing w:after="0"/>
              <w:jc w:val="center"/>
            </w:pPr>
            <w:r w:rsidRPr="00A84251">
              <w:t>1.3</w:t>
            </w:r>
          </w:p>
        </w:tc>
        <w:tc>
          <w:tcPr>
            <w:tcW w:w="0" w:type="auto"/>
            <w:tcBorders>
              <w:top w:val="single" w:sz="6" w:space="0" w:color="auto"/>
              <w:left w:val="nil"/>
              <w:bottom w:val="single" w:sz="6" w:space="0" w:color="auto"/>
              <w:right w:val="single" w:sz="4" w:space="0" w:color="auto"/>
            </w:tcBorders>
            <w:vAlign w:val="center"/>
          </w:tcPr>
          <w:p w14:paraId="1B78F23B" w14:textId="77777777" w:rsidR="007363D1" w:rsidRPr="00A84251" w:rsidRDefault="007363D1">
            <w:pPr>
              <w:keepNext/>
              <w:keepLines/>
              <w:spacing w:after="0"/>
              <w:jc w:val="center"/>
            </w:pPr>
            <w:r w:rsidRPr="00A84251">
              <w:t>0.8</w:t>
            </w:r>
          </w:p>
        </w:tc>
        <w:tc>
          <w:tcPr>
            <w:tcW w:w="0" w:type="auto"/>
            <w:tcBorders>
              <w:top w:val="single" w:sz="6" w:space="0" w:color="auto"/>
              <w:left w:val="nil"/>
              <w:bottom w:val="single" w:sz="6" w:space="0" w:color="auto"/>
              <w:right w:val="single" w:sz="6" w:space="0" w:color="auto"/>
            </w:tcBorders>
            <w:vAlign w:val="center"/>
          </w:tcPr>
          <w:p w14:paraId="09F18998" w14:textId="77777777" w:rsidR="007363D1" w:rsidRPr="00A84251" w:rsidRDefault="007363D1">
            <w:pPr>
              <w:keepNext/>
              <w:keepLines/>
              <w:spacing w:after="0"/>
              <w:jc w:val="center"/>
            </w:pPr>
            <w:r w:rsidRPr="00A84251">
              <w:t>0.6</w:t>
            </w:r>
          </w:p>
        </w:tc>
        <w:tc>
          <w:tcPr>
            <w:tcW w:w="0" w:type="auto"/>
            <w:tcBorders>
              <w:top w:val="single" w:sz="6" w:space="0" w:color="auto"/>
              <w:bottom w:val="single" w:sz="6" w:space="0" w:color="auto"/>
              <w:right w:val="single" w:sz="4" w:space="0" w:color="auto"/>
            </w:tcBorders>
            <w:vAlign w:val="center"/>
          </w:tcPr>
          <w:p w14:paraId="12383CA0" w14:textId="77777777" w:rsidR="007363D1" w:rsidRPr="00A84251" w:rsidRDefault="007363D1">
            <w:pPr>
              <w:keepNext/>
              <w:keepLines/>
              <w:spacing w:after="0"/>
              <w:jc w:val="center"/>
            </w:pPr>
            <w:r w:rsidRPr="00A84251">
              <w:t>1.3</w:t>
            </w:r>
          </w:p>
        </w:tc>
        <w:tc>
          <w:tcPr>
            <w:tcW w:w="0" w:type="auto"/>
            <w:tcBorders>
              <w:top w:val="single" w:sz="6" w:space="0" w:color="auto"/>
              <w:left w:val="nil"/>
              <w:bottom w:val="single" w:sz="6" w:space="0" w:color="auto"/>
              <w:right w:val="single" w:sz="4" w:space="0" w:color="auto"/>
            </w:tcBorders>
            <w:vAlign w:val="center"/>
          </w:tcPr>
          <w:p w14:paraId="127A86A4" w14:textId="77777777" w:rsidR="007363D1" w:rsidRPr="00A84251" w:rsidRDefault="007363D1">
            <w:pPr>
              <w:keepNext/>
              <w:keepLines/>
              <w:spacing w:after="0"/>
              <w:jc w:val="center"/>
            </w:pPr>
            <w:r w:rsidRPr="00A84251">
              <w:t>0.4</w:t>
            </w:r>
          </w:p>
        </w:tc>
        <w:tc>
          <w:tcPr>
            <w:tcW w:w="0" w:type="auto"/>
            <w:tcBorders>
              <w:top w:val="single" w:sz="6" w:space="0" w:color="auto"/>
              <w:left w:val="nil"/>
              <w:bottom w:val="single" w:sz="6" w:space="0" w:color="auto"/>
              <w:right w:val="single" w:sz="6" w:space="0" w:color="auto"/>
            </w:tcBorders>
            <w:vAlign w:val="center"/>
          </w:tcPr>
          <w:p w14:paraId="018C041E" w14:textId="77777777" w:rsidR="007363D1" w:rsidRPr="00A84251" w:rsidRDefault="007363D1">
            <w:pPr>
              <w:keepNext/>
              <w:keepLines/>
              <w:spacing w:after="0"/>
              <w:jc w:val="center"/>
            </w:pPr>
            <w:r w:rsidRPr="00A84251">
              <w:t>0.4</w:t>
            </w:r>
          </w:p>
        </w:tc>
        <w:tc>
          <w:tcPr>
            <w:tcW w:w="0" w:type="auto"/>
            <w:tcBorders>
              <w:top w:val="single" w:sz="6" w:space="0" w:color="auto"/>
              <w:bottom w:val="single" w:sz="6" w:space="0" w:color="auto"/>
              <w:right w:val="single" w:sz="6" w:space="0" w:color="auto"/>
            </w:tcBorders>
            <w:vAlign w:val="center"/>
          </w:tcPr>
          <w:p w14:paraId="7386B1C3" w14:textId="77777777" w:rsidR="007363D1" w:rsidRPr="00A84251" w:rsidRDefault="007363D1">
            <w:pPr>
              <w:keepNext/>
              <w:keepLines/>
              <w:spacing w:after="0"/>
              <w:jc w:val="center"/>
            </w:pPr>
            <w:r>
              <w:t>0.9</w:t>
            </w:r>
          </w:p>
        </w:tc>
      </w:tr>
      <w:tr w:rsidR="007363D1" w:rsidRPr="00A84251" w14:paraId="5C533E51" w14:textId="77777777" w:rsidTr="00BD170C">
        <w:trPr>
          <w:cantSplit/>
        </w:trPr>
        <w:tc>
          <w:tcPr>
            <w:tcW w:w="0" w:type="auto"/>
            <w:tcBorders>
              <w:top w:val="single" w:sz="6" w:space="0" w:color="auto"/>
              <w:left w:val="single" w:sz="6" w:space="0" w:color="auto"/>
              <w:bottom w:val="single" w:sz="6" w:space="0" w:color="auto"/>
            </w:tcBorders>
            <w:vAlign w:val="center"/>
          </w:tcPr>
          <w:p w14:paraId="6ED0F92B" w14:textId="77777777" w:rsidR="007363D1" w:rsidRPr="00797D15" w:rsidRDefault="007363D1" w:rsidP="00830DB8">
            <w:pPr>
              <w:spacing w:after="0"/>
              <w:jc w:val="center"/>
              <w:rPr>
                <w:b/>
              </w:rPr>
            </w:pPr>
            <w:r w:rsidRPr="00797D15">
              <w:rPr>
                <w:b/>
              </w:rPr>
              <w:t>50</w:t>
            </w:r>
          </w:p>
        </w:tc>
        <w:tc>
          <w:tcPr>
            <w:tcW w:w="0" w:type="auto"/>
            <w:tcBorders>
              <w:top w:val="single" w:sz="6" w:space="0" w:color="auto"/>
              <w:left w:val="single" w:sz="6" w:space="0" w:color="auto"/>
              <w:bottom w:val="single" w:sz="6" w:space="0" w:color="auto"/>
              <w:right w:val="single" w:sz="4" w:space="0" w:color="auto"/>
            </w:tcBorders>
            <w:vAlign w:val="center"/>
          </w:tcPr>
          <w:p w14:paraId="61F3C661" w14:textId="77777777" w:rsidR="007363D1" w:rsidRPr="00A84251" w:rsidRDefault="007363D1" w:rsidP="00830DB8">
            <w:pPr>
              <w:spacing w:after="0"/>
              <w:jc w:val="center"/>
            </w:pPr>
            <w:r w:rsidRPr="00A84251">
              <w:t>1.0</w:t>
            </w:r>
          </w:p>
        </w:tc>
        <w:tc>
          <w:tcPr>
            <w:tcW w:w="0" w:type="auto"/>
            <w:tcBorders>
              <w:top w:val="single" w:sz="6" w:space="0" w:color="auto"/>
              <w:left w:val="nil"/>
              <w:bottom w:val="single" w:sz="6" w:space="0" w:color="auto"/>
              <w:right w:val="single" w:sz="4" w:space="0" w:color="auto"/>
            </w:tcBorders>
            <w:vAlign w:val="center"/>
          </w:tcPr>
          <w:p w14:paraId="600E5678" w14:textId="77777777" w:rsidR="007363D1" w:rsidRPr="00A84251" w:rsidRDefault="007363D1">
            <w:pPr>
              <w:spacing w:after="0"/>
              <w:jc w:val="center"/>
            </w:pPr>
            <w:r w:rsidRPr="00A84251">
              <w:t>0.8</w:t>
            </w:r>
          </w:p>
        </w:tc>
        <w:tc>
          <w:tcPr>
            <w:tcW w:w="0" w:type="auto"/>
            <w:tcBorders>
              <w:top w:val="single" w:sz="6" w:space="0" w:color="auto"/>
              <w:left w:val="nil"/>
              <w:bottom w:val="single" w:sz="6" w:space="0" w:color="auto"/>
              <w:right w:val="single" w:sz="6" w:space="0" w:color="auto"/>
            </w:tcBorders>
            <w:vAlign w:val="center"/>
          </w:tcPr>
          <w:p w14:paraId="211834A1" w14:textId="77777777" w:rsidR="007363D1" w:rsidRPr="00A84251" w:rsidRDefault="007363D1">
            <w:pPr>
              <w:spacing w:after="0"/>
              <w:jc w:val="center"/>
            </w:pPr>
            <w:r>
              <w:t>--</w:t>
            </w:r>
          </w:p>
        </w:tc>
        <w:tc>
          <w:tcPr>
            <w:tcW w:w="0" w:type="auto"/>
            <w:tcBorders>
              <w:top w:val="single" w:sz="6" w:space="0" w:color="auto"/>
              <w:bottom w:val="single" w:sz="6" w:space="0" w:color="auto"/>
              <w:right w:val="single" w:sz="4" w:space="0" w:color="auto"/>
            </w:tcBorders>
            <w:vAlign w:val="center"/>
          </w:tcPr>
          <w:p w14:paraId="38A7C1B5" w14:textId="77777777" w:rsidR="007363D1" w:rsidRPr="00A84251" w:rsidRDefault="007363D1">
            <w:pPr>
              <w:spacing w:after="0"/>
              <w:jc w:val="center"/>
            </w:pPr>
            <w:r w:rsidRPr="00A84251">
              <w:t>1.0</w:t>
            </w:r>
          </w:p>
        </w:tc>
        <w:tc>
          <w:tcPr>
            <w:tcW w:w="0" w:type="auto"/>
            <w:tcBorders>
              <w:top w:val="single" w:sz="6" w:space="0" w:color="auto"/>
              <w:left w:val="nil"/>
              <w:bottom w:val="single" w:sz="6" w:space="0" w:color="auto"/>
              <w:right w:val="single" w:sz="4" w:space="0" w:color="auto"/>
            </w:tcBorders>
            <w:vAlign w:val="center"/>
          </w:tcPr>
          <w:p w14:paraId="16BEFF98" w14:textId="77777777" w:rsidR="007363D1" w:rsidRPr="00A84251" w:rsidRDefault="007363D1">
            <w:pPr>
              <w:spacing w:after="0"/>
              <w:jc w:val="center"/>
            </w:pPr>
            <w:r w:rsidRPr="00A84251">
              <w:t>0.4</w:t>
            </w:r>
          </w:p>
        </w:tc>
        <w:tc>
          <w:tcPr>
            <w:tcW w:w="0" w:type="auto"/>
            <w:tcBorders>
              <w:top w:val="single" w:sz="6" w:space="0" w:color="auto"/>
              <w:left w:val="nil"/>
              <w:bottom w:val="single" w:sz="6" w:space="0" w:color="auto"/>
              <w:right w:val="single" w:sz="6" w:space="0" w:color="auto"/>
            </w:tcBorders>
            <w:vAlign w:val="center"/>
          </w:tcPr>
          <w:p w14:paraId="38601E98" w14:textId="77777777" w:rsidR="007363D1" w:rsidRPr="00A84251" w:rsidRDefault="007363D1">
            <w:pPr>
              <w:spacing w:after="0"/>
              <w:jc w:val="center"/>
            </w:pPr>
            <w:r>
              <w:t>--</w:t>
            </w:r>
          </w:p>
        </w:tc>
        <w:tc>
          <w:tcPr>
            <w:tcW w:w="0" w:type="auto"/>
            <w:tcBorders>
              <w:top w:val="single" w:sz="6" w:space="0" w:color="auto"/>
              <w:bottom w:val="single" w:sz="6" w:space="0" w:color="auto"/>
              <w:right w:val="single" w:sz="6" w:space="0" w:color="auto"/>
            </w:tcBorders>
            <w:vAlign w:val="center"/>
          </w:tcPr>
          <w:p w14:paraId="5A8285C8" w14:textId="77777777" w:rsidR="007363D1" w:rsidRPr="00A84251" w:rsidRDefault="007363D1">
            <w:pPr>
              <w:spacing w:after="0"/>
              <w:jc w:val="center"/>
            </w:pPr>
            <w:r>
              <w:t>1.2</w:t>
            </w:r>
          </w:p>
        </w:tc>
      </w:tr>
      <w:tr w:rsidR="00830DB8" w:rsidRPr="00A84251" w14:paraId="414F5F82" w14:textId="77777777" w:rsidTr="00BD170C">
        <w:trPr>
          <w:cantSplit/>
        </w:trPr>
        <w:tc>
          <w:tcPr>
            <w:tcW w:w="0" w:type="auto"/>
            <w:gridSpan w:val="8"/>
            <w:tcBorders>
              <w:top w:val="single" w:sz="6" w:space="0" w:color="auto"/>
              <w:left w:val="single" w:sz="6" w:space="0" w:color="auto"/>
              <w:bottom w:val="single" w:sz="6" w:space="0" w:color="auto"/>
              <w:right w:val="single" w:sz="6" w:space="0" w:color="auto"/>
            </w:tcBorders>
            <w:vAlign w:val="center"/>
          </w:tcPr>
          <w:p w14:paraId="1D50D6DB" w14:textId="26C83D4E" w:rsidR="00830DB8" w:rsidRPr="00830DB8" w:rsidRDefault="00830DB8" w:rsidP="00BD170C">
            <w:pPr>
              <w:spacing w:after="0"/>
            </w:pPr>
            <w:r>
              <w:t xml:space="preserve">Concrete pipe classes to AS/NZS 4058 </w:t>
            </w:r>
            <w:r>
              <w:rPr>
                <w:b/>
                <w:i/>
              </w:rPr>
              <w:t>Table – Test loads for load classes 2 to 10 (ci</w:t>
            </w:r>
            <w:r w:rsidR="00EA55C0">
              <w:rPr>
                <w:b/>
                <w:i/>
              </w:rPr>
              <w:t>r</w:t>
            </w:r>
            <w:r>
              <w:rPr>
                <w:b/>
                <w:i/>
              </w:rPr>
              <w:t>cumferentially reinforced concrete pipes).</w:t>
            </w:r>
            <w:r>
              <w:t xml:space="preserve"> Class 2 (X), Class 3 (Y), Class 4 (Z)</w:t>
            </w:r>
          </w:p>
        </w:tc>
      </w:tr>
    </w:tbl>
    <w:p w14:paraId="008AA284" w14:textId="77777777" w:rsidR="007363D1" w:rsidRPr="00797D15" w:rsidRDefault="007363D1" w:rsidP="007363D1">
      <w:pPr>
        <w:pStyle w:val="Heading3"/>
        <w:numPr>
          <w:ilvl w:val="2"/>
          <w:numId w:val="14"/>
        </w:numPr>
      </w:pPr>
      <w:bookmarkStart w:id="78" w:name="_Toc390823727"/>
      <w:bookmarkStart w:id="79" w:name="_Toc391429419"/>
      <w:bookmarkStart w:id="80" w:name="_Toc396035097"/>
      <w:bookmarkStart w:id="81" w:name="_Toc398800488"/>
      <w:r w:rsidRPr="00797D15">
        <w:t>Laying Generally</w:t>
      </w:r>
      <w:bookmarkEnd w:id="78"/>
      <w:bookmarkEnd w:id="79"/>
      <w:bookmarkEnd w:id="80"/>
      <w:bookmarkEnd w:id="81"/>
    </w:p>
    <w:p w14:paraId="61894372" w14:textId="77777777" w:rsidR="007363D1" w:rsidRPr="00A84251" w:rsidRDefault="007363D1" w:rsidP="007363D1">
      <w:r w:rsidRPr="00A84251">
        <w:t>Lay culverts commencing from the downstream end.</w:t>
      </w:r>
    </w:p>
    <w:p w14:paraId="69ED4DAB" w14:textId="77777777" w:rsidR="007363D1" w:rsidRPr="00A84251" w:rsidRDefault="007363D1" w:rsidP="007363D1">
      <w:r w:rsidRPr="00A84251">
        <w:t>End caps, when used, shall provide a tight waterproof seal.</w:t>
      </w:r>
    </w:p>
    <w:p w14:paraId="4FC99BF2" w14:textId="77777777" w:rsidR="007363D1" w:rsidRPr="00797D15" w:rsidRDefault="007363D1" w:rsidP="007363D1">
      <w:pPr>
        <w:pStyle w:val="Heading3"/>
        <w:numPr>
          <w:ilvl w:val="2"/>
          <w:numId w:val="14"/>
        </w:numPr>
      </w:pPr>
      <w:bookmarkStart w:id="82" w:name="_Toc390823728"/>
      <w:bookmarkStart w:id="83" w:name="_Toc391429420"/>
      <w:bookmarkStart w:id="84" w:name="_Toc396035098"/>
      <w:bookmarkStart w:id="85" w:name="_Toc398800489"/>
      <w:r w:rsidRPr="00797D15">
        <w:t>Laying Pipe Culverts</w:t>
      </w:r>
      <w:bookmarkEnd w:id="82"/>
      <w:bookmarkEnd w:id="83"/>
      <w:bookmarkEnd w:id="84"/>
      <w:bookmarkEnd w:id="85"/>
    </w:p>
    <w:p w14:paraId="0470724D" w14:textId="77777777" w:rsidR="007363D1" w:rsidRPr="00A84251" w:rsidRDefault="007363D1" w:rsidP="007363D1">
      <w:r w:rsidRPr="00A84251">
        <w:t>Face rebates or sockets upstream.</w:t>
      </w:r>
    </w:p>
    <w:p w14:paraId="68DDB036" w14:textId="77777777" w:rsidR="007363D1" w:rsidRPr="00A84251" w:rsidRDefault="007363D1" w:rsidP="007363D1">
      <w:r w:rsidRPr="00A84251">
        <w:t>Rest the full length of the pipe barrel on the bedding.</w:t>
      </w:r>
    </w:p>
    <w:p w14:paraId="1BBE0952" w14:textId="709BC05C" w:rsidR="007363D1" w:rsidRPr="00A84251" w:rsidRDefault="007363D1" w:rsidP="007363D1">
      <w:r w:rsidRPr="00A84251">
        <w:t xml:space="preserve">Position </w:t>
      </w:r>
      <w:r w:rsidR="00AF29C0">
        <w:t xml:space="preserve">pipes so that the </w:t>
      </w:r>
      <w:r w:rsidRPr="00A84251">
        <w:t>‘TO</w:t>
      </w:r>
      <w:r>
        <w:t>P’ marking</w:t>
      </w:r>
      <w:r w:rsidR="00DC243E">
        <w:t>s</w:t>
      </w:r>
      <w:r>
        <w:t xml:space="preserve"> on </w:t>
      </w:r>
      <w:r w:rsidR="00AF29C0">
        <w:t xml:space="preserve">the </w:t>
      </w:r>
      <w:r>
        <w:t>pipes</w:t>
      </w:r>
      <w:r w:rsidR="00AF29C0">
        <w:t xml:space="preserve"> </w:t>
      </w:r>
      <w:r w:rsidR="00DC243E">
        <w:t>are</w:t>
      </w:r>
      <w:r w:rsidR="00AF29C0">
        <w:t xml:space="preserve"> visible on the tops of the pipes and the pipe</w:t>
      </w:r>
      <w:r w:rsidR="00DC243E">
        <w:t>s</w:t>
      </w:r>
      <w:r w:rsidR="00AF29C0">
        <w:t xml:space="preserve"> </w:t>
      </w:r>
      <w:r w:rsidR="00DC243E">
        <w:t>are</w:t>
      </w:r>
      <w:r w:rsidR="00AF29C0">
        <w:t xml:space="preserve"> orientated</w:t>
      </w:r>
      <w:r>
        <w:t xml:space="preserve"> </w:t>
      </w:r>
      <w:r w:rsidR="00AF29C0">
        <w:t>so that the marking</w:t>
      </w:r>
      <w:r w:rsidR="00DC243E">
        <w:t>s</w:t>
      </w:r>
      <w:r w:rsidR="00AF29C0">
        <w:t xml:space="preserve"> </w:t>
      </w:r>
      <w:r w:rsidR="00DC243E">
        <w:t>are</w:t>
      </w:r>
      <w:r>
        <w:t xml:space="preserve"> within 5 </w:t>
      </w:r>
      <w:r w:rsidRPr="00A84251">
        <w:t>degrees of the vertical axis.</w:t>
      </w:r>
    </w:p>
    <w:p w14:paraId="6478525F" w14:textId="11E851AB" w:rsidR="007363D1" w:rsidRPr="00A84251" w:rsidRDefault="007363D1" w:rsidP="007363D1">
      <w:r w:rsidRPr="00A84251">
        <w:t>Fill all joints with stiff mortar firmly rammed into openings. Remove excess mortar from barrel of culvert. Apply external rubber bands.</w:t>
      </w:r>
    </w:p>
    <w:p w14:paraId="76FD0091" w14:textId="2DA17C35" w:rsidR="007363D1" w:rsidRPr="00A84251" w:rsidRDefault="007363D1" w:rsidP="007363D1">
      <w:r>
        <w:t>Brace pipes of 1200 </w:t>
      </w:r>
      <w:r w:rsidRPr="00A84251">
        <w:t>mm diameter and greater with toms until the completion of the embankment and pavement. The toms shall bear against a sill along the invert and a cap against the crown of the pipe. Provide toms opposite every pipe joint.</w:t>
      </w:r>
    </w:p>
    <w:p w14:paraId="630BB6C1" w14:textId="2726D260" w:rsidR="007363D1" w:rsidRPr="00A84251" w:rsidRDefault="007363D1" w:rsidP="007363D1">
      <w:r w:rsidRPr="00A84251">
        <w:t>Cast collars and blocks in one operation. Restrain the culvert prior to constructing the collars or blocks by partially backfilling with bedding around the barrel of the culvert to one</w:t>
      </w:r>
      <w:r w:rsidRPr="00A84251">
        <w:noBreakHyphen/>
        <w:t>half of the pipe diameter.</w:t>
      </w:r>
    </w:p>
    <w:p w14:paraId="536F0286" w14:textId="77777777" w:rsidR="007363D1" w:rsidRPr="00797D15" w:rsidRDefault="007363D1" w:rsidP="007363D1">
      <w:pPr>
        <w:pStyle w:val="Heading3"/>
        <w:numPr>
          <w:ilvl w:val="2"/>
          <w:numId w:val="14"/>
        </w:numPr>
      </w:pPr>
      <w:bookmarkStart w:id="86" w:name="_Toc390823729"/>
      <w:bookmarkStart w:id="87" w:name="_Toc391429421"/>
      <w:bookmarkStart w:id="88" w:name="_Toc396035099"/>
      <w:bookmarkStart w:id="89" w:name="_Toc398800490"/>
      <w:r w:rsidRPr="00797D15">
        <w:t>Laying Box Culverts</w:t>
      </w:r>
      <w:bookmarkEnd w:id="86"/>
      <w:bookmarkEnd w:id="87"/>
      <w:bookmarkEnd w:id="88"/>
      <w:bookmarkEnd w:id="89"/>
    </w:p>
    <w:p w14:paraId="64C0A48C" w14:textId="77777777" w:rsidR="007363D1" w:rsidRPr="00A84251" w:rsidRDefault="007363D1" w:rsidP="007363D1">
      <w:r w:rsidRPr="00A84251">
        <w:lastRenderedPageBreak/>
        <w:t>Lay precast box culverts on a cast</w:t>
      </w:r>
      <w:r w:rsidRPr="00A84251">
        <w:noBreakHyphen/>
        <w:t>in</w:t>
      </w:r>
      <w:r w:rsidRPr="00A84251">
        <w:noBreakHyphen/>
        <w:t>situ reinforced concrete base slab.</w:t>
      </w:r>
    </w:p>
    <w:p w14:paraId="4D756ED8" w14:textId="77777777" w:rsidR="007363D1" w:rsidRPr="00A84251" w:rsidRDefault="007363D1" w:rsidP="007363D1">
      <w:r w:rsidRPr="00A84251">
        <w:t>Ensure concrete base slab exceeds external width of box culverts as shown on the typical details.</w:t>
      </w:r>
    </w:p>
    <w:p w14:paraId="2D2A2219" w14:textId="77777777" w:rsidR="007363D1" w:rsidRPr="00A84251" w:rsidRDefault="007363D1" w:rsidP="007363D1">
      <w:r w:rsidRPr="00A84251">
        <w:t>Butt box culverts firmly together.</w:t>
      </w:r>
    </w:p>
    <w:p w14:paraId="446AD374" w14:textId="77777777" w:rsidR="007363D1" w:rsidRPr="00A84251" w:rsidRDefault="007363D1" w:rsidP="007363D1">
      <w:r w:rsidRPr="00A84251">
        <w:t>Cut away lifting hooks and seal over the affected area with an approved epoxy resin.</w:t>
      </w:r>
    </w:p>
    <w:p w14:paraId="513ECFB9" w14:textId="77777777" w:rsidR="007363D1" w:rsidRDefault="007363D1" w:rsidP="007363D1">
      <w:r w:rsidRPr="00A84251">
        <w:t>Fill all joints with a stiff mortar firmly rammed into the openings.  Remove excess mortar from the barrel of the culvert and apply external joint seals</w:t>
      </w:r>
      <w:r w:rsidR="00606345">
        <w:t xml:space="preserve"> to all joints</w:t>
      </w:r>
      <w:r w:rsidRPr="00A84251">
        <w:t>, D</w:t>
      </w:r>
      <w:r>
        <w:t>ensopol HT60 or equivalent, 150 </w:t>
      </w:r>
      <w:r w:rsidRPr="00A84251">
        <w:t>mm wide.</w:t>
      </w:r>
    </w:p>
    <w:p w14:paraId="71B3CA17" w14:textId="77777777" w:rsidR="007363D1" w:rsidRPr="00797D15" w:rsidRDefault="007363D1" w:rsidP="007363D1">
      <w:pPr>
        <w:pStyle w:val="Heading3"/>
        <w:numPr>
          <w:ilvl w:val="2"/>
          <w:numId w:val="14"/>
        </w:numPr>
      </w:pPr>
      <w:bookmarkStart w:id="90" w:name="_Toc390823730"/>
      <w:bookmarkStart w:id="91" w:name="_Toc391429422"/>
      <w:bookmarkStart w:id="92" w:name="_Toc396035100"/>
      <w:bookmarkStart w:id="93" w:name="_Toc398800491"/>
      <w:r w:rsidRPr="00797D15">
        <w:t>Connection to Existing Systems</w:t>
      </w:r>
      <w:bookmarkEnd w:id="90"/>
      <w:bookmarkEnd w:id="91"/>
      <w:bookmarkEnd w:id="92"/>
      <w:bookmarkEnd w:id="93"/>
      <w:r w:rsidRPr="00797D15">
        <w:t xml:space="preserve"> - Witness Point</w:t>
      </w:r>
    </w:p>
    <w:p w14:paraId="195CC50D" w14:textId="77777777" w:rsidR="007363D1" w:rsidRPr="00A84251" w:rsidRDefault="007363D1" w:rsidP="007363D1">
      <w:r w:rsidRPr="00A84251">
        <w:t>Repair all cut openings and make watertight.</w:t>
      </w:r>
    </w:p>
    <w:p w14:paraId="17003E65" w14:textId="77777777" w:rsidR="007363D1" w:rsidRDefault="007363D1" w:rsidP="007363D1">
      <w:r w:rsidRPr="00A84251">
        <w:t>Demolish existing headwalls to make way for the extension of the culvert.</w:t>
      </w:r>
    </w:p>
    <w:p w14:paraId="7F6664C8" w14:textId="77777777" w:rsidR="007363D1" w:rsidRDefault="007363D1" w:rsidP="007363D1">
      <w:r>
        <w:t>Clean out new work and existing work affected by the new work.</w:t>
      </w:r>
    </w:p>
    <w:p w14:paraId="1635406C" w14:textId="17616D8A" w:rsidR="007363D1" w:rsidRPr="00DC25A7" w:rsidRDefault="007363D1" w:rsidP="007363D1">
      <w:r>
        <w:rPr>
          <w:b/>
        </w:rPr>
        <w:t>Witness Point</w:t>
      </w:r>
      <w:r>
        <w:t xml:space="preserve"> - </w:t>
      </w:r>
      <w:proofErr w:type="gramStart"/>
      <w:r>
        <w:t>Advise</w:t>
      </w:r>
      <w:proofErr w:type="gramEnd"/>
      <w:r>
        <w:t xml:space="preserve"> the Superintendent within 2 days when cleaning out is completed.</w:t>
      </w:r>
    </w:p>
    <w:p w14:paraId="13F53B24" w14:textId="77777777" w:rsidR="007363D1" w:rsidRPr="00797D15" w:rsidRDefault="007363D1" w:rsidP="007363D1">
      <w:pPr>
        <w:pStyle w:val="Heading3"/>
        <w:numPr>
          <w:ilvl w:val="2"/>
          <w:numId w:val="14"/>
        </w:numPr>
      </w:pPr>
      <w:bookmarkStart w:id="94" w:name="_Toc390823731"/>
      <w:bookmarkStart w:id="95" w:name="_Toc391429423"/>
      <w:bookmarkStart w:id="96" w:name="_Toc396035101"/>
      <w:bookmarkStart w:id="97" w:name="_Toc398800492"/>
      <w:r w:rsidRPr="00797D15">
        <w:t xml:space="preserve">Backfill – </w:t>
      </w:r>
      <w:bookmarkEnd w:id="94"/>
      <w:bookmarkEnd w:id="95"/>
      <w:bookmarkEnd w:id="96"/>
      <w:bookmarkEnd w:id="97"/>
      <w:r w:rsidRPr="00797D15">
        <w:t>Witness Point – Hold Point</w:t>
      </w:r>
    </w:p>
    <w:p w14:paraId="41EA87A1" w14:textId="77777777" w:rsidR="007363D1" w:rsidRPr="00A84251" w:rsidRDefault="007363D1" w:rsidP="007363D1">
      <w:r w:rsidRPr="00932AB6">
        <w:rPr>
          <w:b/>
        </w:rPr>
        <w:t>Witness point</w:t>
      </w:r>
      <w:r w:rsidRPr="00A84251">
        <w:t xml:space="preserve"> - Notify the Superintendent before backfilling where holes or fissures occur in rock trenches.</w:t>
      </w:r>
    </w:p>
    <w:p w14:paraId="5D620421" w14:textId="77777777" w:rsidR="007363D1" w:rsidRPr="00A84251" w:rsidRDefault="007363D1" w:rsidP="007363D1">
      <w:r w:rsidRPr="00932AB6">
        <w:rPr>
          <w:b/>
        </w:rPr>
        <w:t>Hold point</w:t>
      </w:r>
      <w:r w:rsidRPr="00A84251">
        <w:t xml:space="preserve"> - Do not place backfill against any in</w:t>
      </w:r>
      <w:r w:rsidRPr="00A84251">
        <w:noBreakHyphen/>
        <w:t>situ concrete structure until the concrete has attained 80% characteristic strength and approval has been given.</w:t>
      </w:r>
    </w:p>
    <w:p w14:paraId="14453B42" w14:textId="77777777" w:rsidR="007363D1" w:rsidRPr="00A84251" w:rsidRDefault="007363D1" w:rsidP="007363D1">
      <w:r w:rsidRPr="00A84251">
        <w:t>Place backf</w:t>
      </w:r>
      <w:r>
        <w:t>ill in layers not exceeding 150 </w:t>
      </w:r>
      <w:r w:rsidRPr="00A84251">
        <w:t>mm compacted thickness.</w:t>
      </w:r>
    </w:p>
    <w:p w14:paraId="3EFF2194" w14:textId="77777777" w:rsidR="007363D1" w:rsidRPr="00A84251" w:rsidRDefault="007363D1" w:rsidP="007363D1">
      <w:r w:rsidRPr="00A84251">
        <w:t>Ensure the maximum difference in height of backfill o</w:t>
      </w:r>
      <w:r>
        <w:t>n each side of a culvert is 300 </w:t>
      </w:r>
      <w:r w:rsidRPr="00A84251">
        <w:t>mm.</w:t>
      </w:r>
    </w:p>
    <w:p w14:paraId="5CB7F2FF" w14:textId="77777777" w:rsidR="007363D1" w:rsidRPr="00A84251" w:rsidRDefault="007363D1" w:rsidP="007363D1">
      <w:r w:rsidRPr="00A84251">
        <w:t>Backfill around the culvert for the full width of th</w:t>
      </w:r>
      <w:r>
        <w:t>e trench, and for a minimum 300 </w:t>
      </w:r>
      <w:r w:rsidRPr="00A84251">
        <w:t>mm above the top of the culvert, or to subgrade surface if less, with select fill.</w:t>
      </w:r>
    </w:p>
    <w:p w14:paraId="17F1FE60" w14:textId="77777777" w:rsidR="007363D1" w:rsidRPr="00A84251" w:rsidRDefault="007363D1" w:rsidP="007363D1">
      <w:r w:rsidRPr="00A84251">
        <w:t>Backfill the remainder of the trench with standard fill.</w:t>
      </w:r>
    </w:p>
    <w:p w14:paraId="39B86545" w14:textId="77777777" w:rsidR="007363D1" w:rsidRDefault="007363D1" w:rsidP="007363D1">
      <w:r>
        <w:t>Stabilise all backfill with 2% cement by mass and compact to 95% relative compaction where the trench or embankment is located, or will be located, beneath a road pavement.</w:t>
      </w:r>
      <w:r w:rsidRPr="00A84251">
        <w:t xml:space="preserve"> </w:t>
      </w:r>
    </w:p>
    <w:p w14:paraId="7211CAFA" w14:textId="77777777" w:rsidR="007363D1" w:rsidRPr="00A84251" w:rsidRDefault="007363D1" w:rsidP="007363D1">
      <w:r w:rsidRPr="00A84251">
        <w:t>Produce a uniform mix.  Complete compaction within one hour of adding mixing water.</w:t>
      </w:r>
    </w:p>
    <w:p w14:paraId="2FA4BA87" w14:textId="77777777" w:rsidR="007363D1" w:rsidRPr="00A84251" w:rsidRDefault="007363D1" w:rsidP="007363D1">
      <w:r w:rsidRPr="00A84251">
        <w:t>Use compaction equipment which will not damage the culvert and in</w:t>
      </w:r>
      <w:r w:rsidRPr="00A84251">
        <w:noBreakHyphen/>
        <w:t>situ structures.</w:t>
      </w:r>
    </w:p>
    <w:p w14:paraId="5D94A17C" w14:textId="77777777" w:rsidR="007363D1" w:rsidRPr="00A84251" w:rsidRDefault="007363D1" w:rsidP="007363D1">
      <w:r w:rsidRPr="00A84251">
        <w:t>Carry out conformance testing using the Department</w:t>
      </w:r>
      <w:r>
        <w:t>’</w:t>
      </w:r>
      <w:r w:rsidRPr="00A84251">
        <w:t>s Panel Period Contractors for Testing.</w:t>
      </w:r>
    </w:p>
    <w:p w14:paraId="2A040716" w14:textId="0FB4179C" w:rsidR="007363D1" w:rsidRPr="00A84251" w:rsidRDefault="007363D1" w:rsidP="007363D1">
      <w:r>
        <w:t>Stabilise top 150 </w:t>
      </w:r>
      <w:r w:rsidRPr="00A84251">
        <w:t>mm o</w:t>
      </w:r>
      <w:r>
        <w:t>f backfill, for a distance of 1 </w:t>
      </w:r>
      <w:r w:rsidRPr="00A84251">
        <w:t>m adjacent to culvert headwalls and wing walls, so as to be erosion resistant.</w:t>
      </w:r>
    </w:p>
    <w:p w14:paraId="7790A630" w14:textId="77777777" w:rsidR="007363D1" w:rsidRPr="00A84251" w:rsidRDefault="007363D1" w:rsidP="007363D1">
      <w:r w:rsidRPr="00A84251">
        <w:t>Remove surplus material from the site.</w:t>
      </w:r>
    </w:p>
    <w:p w14:paraId="03447F6B" w14:textId="77777777" w:rsidR="007363D1" w:rsidRPr="00A84251" w:rsidRDefault="007363D1" w:rsidP="007363D1">
      <w:r w:rsidRPr="00A84251">
        <w:t>Reinstate to subgrade level trenches cut through pavements and other construction by backfilling the trench with stabilised select fill compacted to 95% relative compaction.</w:t>
      </w:r>
    </w:p>
    <w:p w14:paraId="75D8E8A3" w14:textId="77777777" w:rsidR="007363D1" w:rsidRPr="00A84251" w:rsidRDefault="007363D1" w:rsidP="007363D1">
      <w:r w:rsidRPr="00A84251">
        <w:t>Construct base/sub</w:t>
      </w:r>
      <w:r w:rsidRPr="00A84251">
        <w:noBreakHyphen/>
        <w:t xml:space="preserve">base layers of the pavement in accordance with the PAVEMENTS AND </w:t>
      </w:r>
      <w:r w:rsidRPr="00A84251">
        <w:lastRenderedPageBreak/>
        <w:t>SHOULDERS Section.</w:t>
      </w:r>
      <w:bookmarkStart w:id="98" w:name="_GoBack"/>
      <w:bookmarkEnd w:id="98"/>
    </w:p>
    <w:p w14:paraId="1D619AF9" w14:textId="77777777" w:rsidR="007363D1" w:rsidRPr="00A84251" w:rsidRDefault="007363D1" w:rsidP="007363D1">
      <w:r w:rsidRPr="00A84251">
        <w:t>Reinstate surface.</w:t>
      </w:r>
    </w:p>
    <w:p w14:paraId="44830046" w14:textId="77777777" w:rsidR="007363D1" w:rsidRPr="00A84251" w:rsidRDefault="007363D1" w:rsidP="007363D1">
      <w:r w:rsidRPr="00A84251">
        <w:t>Reinstate trenches cut outside of pavements and other construction by backfilling with standard fill compacted to 90% relative compaction.</w:t>
      </w:r>
    </w:p>
    <w:p w14:paraId="70AE51A5" w14:textId="3F9D70EE" w:rsidR="007363D1" w:rsidRPr="00797D15" w:rsidRDefault="007363D1" w:rsidP="007363D1">
      <w:pPr>
        <w:pStyle w:val="Heading2"/>
        <w:keepNext/>
        <w:widowControl/>
        <w:numPr>
          <w:ilvl w:val="1"/>
          <w:numId w:val="14"/>
        </w:numPr>
        <w:ind w:left="720" w:hanging="720"/>
      </w:pPr>
      <w:bookmarkStart w:id="99" w:name="_Toc390823732"/>
      <w:bookmarkStart w:id="100" w:name="_Toc391429424"/>
      <w:bookmarkStart w:id="101" w:name="_Toc396035102"/>
      <w:bookmarkStart w:id="102" w:name="_Toc398800493"/>
      <w:r w:rsidRPr="00797D15">
        <w:t>Inlet And Outlet Structures</w:t>
      </w:r>
      <w:r w:rsidR="003F2C70">
        <w:t>,</w:t>
      </w:r>
      <w:bookmarkEnd w:id="99"/>
      <w:bookmarkEnd w:id="100"/>
      <w:bookmarkEnd w:id="101"/>
      <w:bookmarkEnd w:id="102"/>
      <w:r w:rsidR="003F2C70">
        <w:t xml:space="preserve"> Pits, Headwalls, and Other Structures</w:t>
      </w:r>
    </w:p>
    <w:p w14:paraId="6A7F2D6F" w14:textId="77777777" w:rsidR="007363D1" w:rsidRPr="00A84251" w:rsidRDefault="007363D1" w:rsidP="007363D1">
      <w:r w:rsidRPr="00A84251">
        <w:t>Construct in accordance with the specifications.</w:t>
      </w:r>
    </w:p>
    <w:p w14:paraId="2BFEFD54" w14:textId="77777777" w:rsidR="007363D1" w:rsidRPr="00A84251" w:rsidRDefault="007363D1" w:rsidP="007363D1">
      <w:r w:rsidRPr="00A84251">
        <w:t>Compact foundations to 95% relati</w:t>
      </w:r>
      <w:r>
        <w:t>ve compaction to a depth of 150 </w:t>
      </w:r>
      <w:r w:rsidRPr="00A84251">
        <w:t>mm minimum.</w:t>
      </w:r>
    </w:p>
    <w:p w14:paraId="7049389C" w14:textId="77777777" w:rsidR="007363D1" w:rsidRDefault="007363D1" w:rsidP="007363D1">
      <w:r w:rsidRPr="00A84251">
        <w:t xml:space="preserve">Replace unsuitable material as specified in the </w:t>
      </w:r>
      <w:r w:rsidRPr="001B6D80">
        <w:rPr>
          <w:b/>
        </w:rPr>
        <w:t>Excavation</w:t>
      </w:r>
      <w:r>
        <w:t xml:space="preserve"> sub-c</w:t>
      </w:r>
      <w:r w:rsidRPr="00A84251">
        <w:t>lause</w:t>
      </w:r>
      <w:r>
        <w:t xml:space="preserve">, in the </w:t>
      </w:r>
      <w:r>
        <w:rPr>
          <w:b/>
        </w:rPr>
        <w:t xml:space="preserve">Construction of Culverts and Structures </w:t>
      </w:r>
      <w:r>
        <w:t>clause in this work section</w:t>
      </w:r>
      <w:r w:rsidRPr="00A84251">
        <w:t>.</w:t>
      </w:r>
    </w:p>
    <w:p w14:paraId="440DA23F" w14:textId="77777777" w:rsidR="007363D1" w:rsidRPr="00797D15" w:rsidRDefault="007363D1" w:rsidP="007363D1">
      <w:pPr>
        <w:pStyle w:val="Heading2"/>
        <w:keepNext/>
        <w:widowControl/>
        <w:numPr>
          <w:ilvl w:val="1"/>
          <w:numId w:val="14"/>
        </w:numPr>
        <w:ind w:left="720" w:hanging="720"/>
      </w:pPr>
      <w:bookmarkStart w:id="103" w:name="_Toc390823733"/>
      <w:bookmarkStart w:id="104" w:name="_Toc391429425"/>
      <w:bookmarkStart w:id="105" w:name="_Toc396035103"/>
      <w:bookmarkStart w:id="106" w:name="_Toc398800494"/>
      <w:r w:rsidRPr="00797D15">
        <w:t>Inlet And Outlet Channels</w:t>
      </w:r>
      <w:bookmarkEnd w:id="103"/>
      <w:bookmarkEnd w:id="104"/>
      <w:bookmarkEnd w:id="105"/>
      <w:bookmarkEnd w:id="106"/>
      <w:r w:rsidRPr="00797D15">
        <w:t xml:space="preserve"> - Witness Point</w:t>
      </w:r>
    </w:p>
    <w:p w14:paraId="5A16222D" w14:textId="77777777" w:rsidR="007363D1" w:rsidRPr="00A84251" w:rsidRDefault="007363D1" w:rsidP="007363D1">
      <w:r w:rsidRPr="00A84251">
        <w:t>Excavate the inlet and outlet of all culverts to facilitate the flow of water.</w:t>
      </w:r>
    </w:p>
    <w:p w14:paraId="1E2A09A4" w14:textId="77777777" w:rsidR="007363D1" w:rsidRPr="00A84251" w:rsidRDefault="007363D1" w:rsidP="007363D1">
      <w:r w:rsidRPr="00A84251">
        <w:t>Conform to the following:</w:t>
      </w:r>
    </w:p>
    <w:p w14:paraId="4DC0A4A1" w14:textId="77777777" w:rsidR="007363D1" w:rsidRPr="00A84251" w:rsidRDefault="007363D1" w:rsidP="007363D1">
      <w:r>
        <w:t>Bed width:</w:t>
      </w:r>
      <w:r>
        <w:tab/>
      </w:r>
      <w:r>
        <w:tab/>
        <w:t>Minimum 150 </w:t>
      </w:r>
      <w:r w:rsidRPr="00A84251">
        <w:t>mm greater than overall width of culvert.</w:t>
      </w:r>
    </w:p>
    <w:p w14:paraId="72789C56" w14:textId="77777777" w:rsidR="007363D1" w:rsidRPr="00A84251" w:rsidRDefault="007363D1" w:rsidP="007363D1">
      <w:r>
        <w:t>Side batters:</w:t>
      </w:r>
      <w:r>
        <w:tab/>
      </w:r>
      <w:r>
        <w:tab/>
        <w:t xml:space="preserve">45 </w:t>
      </w:r>
      <w:r w:rsidRPr="00A84251">
        <w:t>degrees maximum to horizontal.</w:t>
      </w:r>
    </w:p>
    <w:p w14:paraId="18128602" w14:textId="77777777" w:rsidR="007363D1" w:rsidRDefault="007363D1" w:rsidP="007363D1">
      <w:r w:rsidRPr="00A84251">
        <w:t>Bed grade:</w:t>
      </w:r>
      <w:r w:rsidRPr="00A84251">
        <w:tab/>
      </w:r>
      <w:r>
        <w:tab/>
      </w:r>
      <w:r w:rsidRPr="00A84251">
        <w:t>0.5% in the direction of fl</w:t>
      </w:r>
      <w:r>
        <w:t>ow for a minimum distance of 50 </w:t>
      </w:r>
      <w:r w:rsidRPr="00A84251">
        <w:t>metres.</w:t>
      </w:r>
    </w:p>
    <w:p w14:paraId="19ABAA75" w14:textId="77777777" w:rsidR="007363D1" w:rsidRDefault="007363D1" w:rsidP="007363D1">
      <w:pPr>
        <w:pStyle w:val="BodyText0"/>
      </w:pPr>
      <w:r>
        <w:t>Clean out new work and existing work affected by the new work.</w:t>
      </w:r>
    </w:p>
    <w:p w14:paraId="69B71907" w14:textId="0AFA724C" w:rsidR="007363D1" w:rsidRPr="00A84251" w:rsidRDefault="007363D1" w:rsidP="007363D1">
      <w:pPr>
        <w:pStyle w:val="BodyText0"/>
      </w:pPr>
      <w:r w:rsidRPr="00A841A9">
        <w:rPr>
          <w:b/>
          <w:bCs/>
        </w:rPr>
        <w:t xml:space="preserve">Witness Point </w:t>
      </w:r>
      <w:r>
        <w:t xml:space="preserve">- </w:t>
      </w:r>
      <w:proofErr w:type="gramStart"/>
      <w:r>
        <w:t>Advise</w:t>
      </w:r>
      <w:proofErr w:type="gramEnd"/>
      <w:r>
        <w:t xml:space="preserve"> the Superintendent within 2 days when cleaning out is completed.</w:t>
      </w:r>
    </w:p>
    <w:p w14:paraId="3048092C" w14:textId="77777777" w:rsidR="007363D1" w:rsidRPr="00797D15" w:rsidRDefault="007363D1" w:rsidP="007363D1">
      <w:pPr>
        <w:pStyle w:val="Heading2"/>
        <w:keepNext/>
        <w:widowControl/>
        <w:numPr>
          <w:ilvl w:val="1"/>
          <w:numId w:val="14"/>
        </w:numPr>
        <w:ind w:left="720" w:hanging="720"/>
      </w:pPr>
      <w:bookmarkStart w:id="107" w:name="_Toc390823734"/>
      <w:bookmarkStart w:id="108" w:name="_Toc391429426"/>
      <w:bookmarkStart w:id="109" w:name="_Toc396035104"/>
      <w:bookmarkStart w:id="110" w:name="_Toc398800495"/>
      <w:r w:rsidRPr="00797D15">
        <w:t>Open Unlined Drains</w:t>
      </w:r>
      <w:bookmarkEnd w:id="107"/>
      <w:bookmarkEnd w:id="108"/>
      <w:bookmarkEnd w:id="109"/>
      <w:bookmarkEnd w:id="110"/>
    </w:p>
    <w:p w14:paraId="5694987A" w14:textId="77777777" w:rsidR="007363D1" w:rsidRPr="00A84251" w:rsidRDefault="007363D1" w:rsidP="007363D1">
      <w:r w:rsidRPr="00A84251">
        <w:t>Excavate and dispose of all excess material as specified in the EARTHWORKS Section.</w:t>
      </w:r>
    </w:p>
    <w:p w14:paraId="1DAA62B4" w14:textId="77777777" w:rsidR="007363D1" w:rsidRPr="00A84251" w:rsidRDefault="007363D1" w:rsidP="007363D1">
      <w:r w:rsidRPr="00A84251">
        <w:t>Trim drains to form neat levees.</w:t>
      </w:r>
    </w:p>
    <w:p w14:paraId="2C9959D3" w14:textId="77777777" w:rsidR="007363D1" w:rsidRPr="00A84251" w:rsidRDefault="007363D1" w:rsidP="007363D1">
      <w:r w:rsidRPr="00A84251">
        <w:t>Compact levees to 95% relative compaction.</w:t>
      </w:r>
    </w:p>
    <w:p w14:paraId="1217C39B" w14:textId="77777777" w:rsidR="007363D1" w:rsidRPr="00A84251" w:rsidRDefault="007363D1" w:rsidP="007363D1">
      <w:r w:rsidRPr="00A84251">
        <w:t>Allow natural surface runoff.</w:t>
      </w:r>
    </w:p>
    <w:p w14:paraId="34B7BD84" w14:textId="77777777" w:rsidR="007363D1" w:rsidRPr="00797D15" w:rsidRDefault="007363D1" w:rsidP="007363D1">
      <w:pPr>
        <w:pStyle w:val="Heading2"/>
        <w:keepNext/>
        <w:widowControl/>
        <w:numPr>
          <w:ilvl w:val="1"/>
          <w:numId w:val="14"/>
        </w:numPr>
        <w:ind w:left="720" w:hanging="720"/>
      </w:pPr>
      <w:bookmarkStart w:id="111" w:name="_Toc390823735"/>
      <w:bookmarkStart w:id="112" w:name="_Toc391429427"/>
      <w:bookmarkStart w:id="113" w:name="_Toc396035105"/>
      <w:bookmarkStart w:id="114" w:name="_Toc398800496"/>
      <w:r w:rsidRPr="00797D15">
        <w:t>Removal Of Existing Culverts And Drainage Structures</w:t>
      </w:r>
      <w:bookmarkEnd w:id="111"/>
      <w:bookmarkEnd w:id="112"/>
      <w:bookmarkEnd w:id="113"/>
      <w:bookmarkEnd w:id="114"/>
    </w:p>
    <w:p w14:paraId="07EE513D" w14:textId="77777777" w:rsidR="007363D1" w:rsidRPr="00A84251" w:rsidRDefault="007363D1" w:rsidP="007363D1">
      <w:r w:rsidRPr="00A84251">
        <w:t>Demolish and remove from the site, as specified, existing culverts and drainage structures.</w:t>
      </w:r>
    </w:p>
    <w:p w14:paraId="5CAF544B" w14:textId="77777777" w:rsidR="007363D1" w:rsidRPr="006B0972" w:rsidRDefault="007363D1" w:rsidP="007363D1">
      <w:pPr>
        <w:pStyle w:val="Heading2"/>
        <w:keepNext/>
        <w:widowControl/>
        <w:numPr>
          <w:ilvl w:val="1"/>
          <w:numId w:val="14"/>
        </w:numPr>
        <w:ind w:left="720" w:hanging="720"/>
      </w:pPr>
      <w:bookmarkStart w:id="115" w:name="_Toc390823736"/>
      <w:bookmarkStart w:id="116" w:name="_Toc391429428"/>
      <w:bookmarkStart w:id="117" w:name="_Toc396035106"/>
      <w:bookmarkStart w:id="118" w:name="_Toc398800497"/>
      <w:r w:rsidRPr="006B0972">
        <w:t>Subsoil Drains</w:t>
      </w:r>
      <w:bookmarkEnd w:id="115"/>
      <w:bookmarkEnd w:id="116"/>
      <w:bookmarkEnd w:id="117"/>
      <w:bookmarkEnd w:id="118"/>
    </w:p>
    <w:p w14:paraId="4D41B7DB" w14:textId="77777777" w:rsidR="007363D1" w:rsidRPr="006B0972" w:rsidRDefault="007363D1" w:rsidP="007363D1">
      <w:pPr>
        <w:pStyle w:val="Heading3"/>
        <w:numPr>
          <w:ilvl w:val="2"/>
          <w:numId w:val="14"/>
        </w:numPr>
      </w:pPr>
      <w:bookmarkStart w:id="119" w:name="_Toc390823737"/>
      <w:bookmarkStart w:id="120" w:name="_Toc391429429"/>
      <w:bookmarkStart w:id="121" w:name="_Toc396035107"/>
      <w:bookmarkStart w:id="122" w:name="_Toc398800498"/>
      <w:r w:rsidRPr="006B0972">
        <w:t>Excavation</w:t>
      </w:r>
      <w:bookmarkEnd w:id="119"/>
      <w:bookmarkEnd w:id="120"/>
      <w:bookmarkEnd w:id="121"/>
      <w:bookmarkEnd w:id="122"/>
    </w:p>
    <w:p w14:paraId="6D373B00" w14:textId="1B6C3F1F" w:rsidR="007363D1" w:rsidRPr="006B0972" w:rsidRDefault="007363D1" w:rsidP="007363D1">
      <w:bookmarkStart w:id="123" w:name="_Toc390823738"/>
      <w:bookmarkStart w:id="124" w:name="_Toc391429430"/>
      <w:bookmarkStart w:id="125" w:name="_Toc396035108"/>
      <w:bookmarkStart w:id="126" w:name="_Toc398800499"/>
      <w:r w:rsidRPr="006B0972">
        <w:t xml:space="preserve">Excavate </w:t>
      </w:r>
      <w:r w:rsidR="006B0972">
        <w:t>to the depths indicated on the applicable Civil Standard Drawings and/or the project drawings</w:t>
      </w:r>
      <w:proofErr w:type="gramStart"/>
      <w:r w:rsidR="006B0972">
        <w:t>.</w:t>
      </w:r>
      <w:r w:rsidRPr="006B0972">
        <w:t>.</w:t>
      </w:r>
      <w:proofErr w:type="gramEnd"/>
    </w:p>
    <w:p w14:paraId="7ADF6529" w14:textId="77777777" w:rsidR="007363D1" w:rsidRPr="006B0972" w:rsidRDefault="007363D1" w:rsidP="007363D1">
      <w:r w:rsidRPr="006B0972">
        <w:lastRenderedPageBreak/>
        <w:t>Line the trench with geotextile fabric. Refer to PROTECTION WORKS.</w:t>
      </w:r>
    </w:p>
    <w:p w14:paraId="6738C0F7" w14:textId="77777777" w:rsidR="007363D1" w:rsidRPr="006B0972" w:rsidRDefault="007363D1" w:rsidP="007363D1">
      <w:r w:rsidRPr="006B0972">
        <w:t>Place a bedding layer of 50 mm of filter material in the trench and compact with a vibrating plate or similar.</w:t>
      </w:r>
    </w:p>
    <w:p w14:paraId="074FB34D" w14:textId="77777777" w:rsidR="007363D1" w:rsidRPr="006B0972" w:rsidRDefault="007363D1" w:rsidP="007363D1">
      <w:pPr>
        <w:pStyle w:val="Heading3"/>
        <w:numPr>
          <w:ilvl w:val="2"/>
          <w:numId w:val="14"/>
        </w:numPr>
      </w:pPr>
      <w:r w:rsidRPr="006B0972">
        <w:t>Filter Material</w:t>
      </w:r>
      <w:bookmarkEnd w:id="123"/>
      <w:bookmarkEnd w:id="124"/>
      <w:bookmarkEnd w:id="125"/>
      <w:bookmarkEnd w:id="126"/>
    </w:p>
    <w:p w14:paraId="179E5636" w14:textId="77777777" w:rsidR="007363D1" w:rsidRPr="006B0972" w:rsidRDefault="007363D1" w:rsidP="007363D1">
      <w:r w:rsidRPr="006B0972">
        <w:t>Shall be a hard durable stone having a Los Angeles Abrasion Loss not greater than 35%.</w:t>
      </w:r>
    </w:p>
    <w:p w14:paraId="305E02CD" w14:textId="08657878" w:rsidR="007363D1" w:rsidRPr="006B0972" w:rsidRDefault="006B0972" w:rsidP="007363D1">
      <w:r>
        <w:t>For Type B subsoil drains, backfill material is to consist of a single sized aggregate of 20mm particle size, with a maximum of 5% passing the AS 0.15mm sieve.</w:t>
      </w:r>
    </w:p>
    <w:p w14:paraId="161E0DBE" w14:textId="77777777" w:rsidR="007363D1" w:rsidRPr="006B0972" w:rsidRDefault="007363D1" w:rsidP="007363D1">
      <w:pPr>
        <w:pStyle w:val="Heading3"/>
        <w:numPr>
          <w:ilvl w:val="2"/>
          <w:numId w:val="14"/>
        </w:numPr>
      </w:pPr>
      <w:bookmarkStart w:id="127" w:name="_Toc390823740"/>
      <w:bookmarkStart w:id="128" w:name="_Toc391429432"/>
      <w:bookmarkStart w:id="129" w:name="_Toc396035110"/>
      <w:bookmarkStart w:id="130" w:name="_Toc398800501"/>
      <w:r w:rsidRPr="006B0972">
        <w:t>Geotextile Fabric</w:t>
      </w:r>
      <w:bookmarkEnd w:id="127"/>
      <w:bookmarkEnd w:id="128"/>
      <w:bookmarkEnd w:id="129"/>
      <w:bookmarkEnd w:id="130"/>
    </w:p>
    <w:p w14:paraId="1A01DF48" w14:textId="77777777" w:rsidR="007363D1" w:rsidRPr="006B0972" w:rsidRDefault="007363D1" w:rsidP="007363D1">
      <w:pPr>
        <w:pStyle w:val="BodyText0"/>
        <w:rPr>
          <w:color w:val="000000"/>
        </w:rPr>
      </w:pPr>
      <w:r w:rsidRPr="006B0972">
        <w:rPr>
          <w:color w:val="000000"/>
        </w:rPr>
        <w:t xml:space="preserve">Conform to the requirements of </w:t>
      </w:r>
      <w:r w:rsidRPr="006B0972">
        <w:rPr>
          <w:b/>
          <w:color w:val="000000"/>
        </w:rPr>
        <w:t>Geotextile Fabrics</w:t>
      </w:r>
      <w:r w:rsidRPr="006B0972">
        <w:rPr>
          <w:color w:val="000000"/>
        </w:rPr>
        <w:t xml:space="preserve"> clause in PROTECTION WORKS.</w:t>
      </w:r>
    </w:p>
    <w:p w14:paraId="54DF9BE8" w14:textId="77777777" w:rsidR="007363D1" w:rsidRPr="006B0972" w:rsidRDefault="007363D1" w:rsidP="007363D1">
      <w:pPr>
        <w:pStyle w:val="Heading3"/>
        <w:numPr>
          <w:ilvl w:val="2"/>
          <w:numId w:val="14"/>
        </w:numPr>
      </w:pPr>
      <w:bookmarkStart w:id="131" w:name="_Toc390823741"/>
      <w:bookmarkStart w:id="132" w:name="_Toc391429433"/>
      <w:bookmarkStart w:id="133" w:name="_Toc396035111"/>
      <w:bookmarkStart w:id="134" w:name="_Toc398800502"/>
      <w:r w:rsidRPr="006B0972">
        <w:t>Subsoil Drain Pipe</w:t>
      </w:r>
      <w:bookmarkEnd w:id="131"/>
      <w:bookmarkEnd w:id="132"/>
      <w:bookmarkEnd w:id="133"/>
      <w:bookmarkEnd w:id="134"/>
    </w:p>
    <w:p w14:paraId="216CE973" w14:textId="77777777" w:rsidR="007363D1" w:rsidRPr="006B0972" w:rsidRDefault="007363D1" w:rsidP="007363D1">
      <w:r w:rsidRPr="006B0972">
        <w:t>Use 100 mm diameter Class 400.</w:t>
      </w:r>
    </w:p>
    <w:p w14:paraId="6A44B645" w14:textId="77777777" w:rsidR="007363D1" w:rsidRPr="006B0972" w:rsidRDefault="007363D1" w:rsidP="007363D1">
      <w:r w:rsidRPr="006B0972">
        <w:t>Use compatible couplings and fittings.</w:t>
      </w:r>
    </w:p>
    <w:p w14:paraId="69115892" w14:textId="77777777" w:rsidR="007363D1" w:rsidRPr="006B0972" w:rsidRDefault="007363D1" w:rsidP="007363D1">
      <w:r w:rsidRPr="006B0972">
        <w:t>Connect solid wall pipe to the subsoil drain pipe for the disposal of collected water.</w:t>
      </w:r>
    </w:p>
    <w:p w14:paraId="597FBB45" w14:textId="77777777" w:rsidR="007363D1" w:rsidRPr="006B0972" w:rsidRDefault="007363D1" w:rsidP="007363D1">
      <w:pPr>
        <w:pStyle w:val="Heading3"/>
        <w:numPr>
          <w:ilvl w:val="2"/>
          <w:numId w:val="14"/>
        </w:numPr>
      </w:pPr>
      <w:bookmarkStart w:id="135" w:name="_Toc390823742"/>
      <w:bookmarkStart w:id="136" w:name="_Toc391429434"/>
      <w:bookmarkStart w:id="137" w:name="_Toc396035112"/>
      <w:bookmarkStart w:id="138" w:name="_Toc398800503"/>
      <w:r w:rsidRPr="006B0972">
        <w:t xml:space="preserve">Laying and Backfilling – </w:t>
      </w:r>
      <w:bookmarkEnd w:id="135"/>
      <w:bookmarkEnd w:id="136"/>
      <w:bookmarkEnd w:id="137"/>
      <w:bookmarkEnd w:id="138"/>
      <w:r w:rsidRPr="006B0972">
        <w:t>Hold Point</w:t>
      </w:r>
    </w:p>
    <w:p w14:paraId="144024EE" w14:textId="5B7C7667" w:rsidR="007363D1" w:rsidRPr="006B0972" w:rsidRDefault="007363D1" w:rsidP="007363D1">
      <w:r w:rsidRPr="006B0972">
        <w:t>Fit the pipelines with inspection openings</w:t>
      </w:r>
      <w:r w:rsidR="006B0972">
        <w:t>, flushing points,</w:t>
      </w:r>
      <w:r w:rsidRPr="006B0972">
        <w:t xml:space="preserve"> and </w:t>
      </w:r>
      <w:r w:rsidR="006B0972">
        <w:t xml:space="preserve">appropriate </w:t>
      </w:r>
      <w:r w:rsidRPr="006B0972">
        <w:t>caps</w:t>
      </w:r>
      <w:r w:rsidR="006B0972">
        <w:t>,</w:t>
      </w:r>
      <w:r w:rsidRPr="006B0972">
        <w:t xml:space="preserve"> supported </w:t>
      </w:r>
      <w:proofErr w:type="gramStart"/>
      <w:r w:rsidRPr="006B0972">
        <w:t>in  concrete</w:t>
      </w:r>
      <w:proofErr w:type="gramEnd"/>
      <w:r w:rsidRPr="006B0972">
        <w:t xml:space="preserve"> collar</w:t>
      </w:r>
      <w:r w:rsidR="006B0972">
        <w:t>s suitable for Class D loading</w:t>
      </w:r>
      <w:r w:rsidRPr="006B0972">
        <w:t>.</w:t>
      </w:r>
    </w:p>
    <w:p w14:paraId="7BD57049" w14:textId="77777777" w:rsidR="007363D1" w:rsidRPr="006B0972" w:rsidRDefault="007363D1" w:rsidP="007363D1">
      <w:r w:rsidRPr="006B0972">
        <w:rPr>
          <w:b/>
        </w:rPr>
        <w:t>Hold point</w:t>
      </w:r>
      <w:r w:rsidRPr="006B0972">
        <w:t xml:space="preserve"> - Obtain Superintendent's approval of the pipe installation before backfilling.</w:t>
      </w:r>
    </w:p>
    <w:p w14:paraId="464198B4" w14:textId="77777777" w:rsidR="007363D1" w:rsidRPr="006B0972" w:rsidRDefault="007363D1" w:rsidP="007363D1">
      <w:r w:rsidRPr="006B0972">
        <w:t>Place filter material around the barrel of the pipe and to a height of 200 mm above the pipe.</w:t>
      </w:r>
    </w:p>
    <w:p w14:paraId="5D8C18B7" w14:textId="77777777" w:rsidR="007363D1" w:rsidRPr="006B0972" w:rsidRDefault="007363D1" w:rsidP="007363D1">
      <w:r w:rsidRPr="006B0972">
        <w:t>Compact with a vibrating plate compactor or similar.</w:t>
      </w:r>
    </w:p>
    <w:p w14:paraId="629D10D3" w14:textId="77777777" w:rsidR="007363D1" w:rsidRPr="006B0972" w:rsidRDefault="007363D1" w:rsidP="007363D1">
      <w:r w:rsidRPr="006B0972">
        <w:t>Place and compact remaining layers of the filter in layers not exceeding 300 mm.</w:t>
      </w:r>
    </w:p>
    <w:p w14:paraId="3E9B6185" w14:textId="77777777" w:rsidR="007363D1" w:rsidRPr="006B0972" w:rsidRDefault="007363D1" w:rsidP="007363D1">
      <w:r w:rsidRPr="006B0972">
        <w:t>Prevent contamination of the filter.</w:t>
      </w:r>
    </w:p>
    <w:p w14:paraId="69F8F040" w14:textId="77777777" w:rsidR="007363D1" w:rsidRPr="006B0972" w:rsidRDefault="007363D1" w:rsidP="007363D1">
      <w:r w:rsidRPr="006B0972">
        <w:t>Place and compact basecourse gravel, as specified in the PAVEMENTS AND SHOULDERS Section in the top 300 mm of trench.</w:t>
      </w:r>
    </w:p>
    <w:p w14:paraId="0E25A54A" w14:textId="77777777" w:rsidR="007363D1" w:rsidRPr="006B0972" w:rsidRDefault="007363D1" w:rsidP="007363D1">
      <w:r w:rsidRPr="006B0972">
        <w:t>Place the material in two equal layers compacted to 95% relative compaction.</w:t>
      </w:r>
    </w:p>
    <w:p w14:paraId="5542B9C9" w14:textId="77777777" w:rsidR="007363D1" w:rsidRPr="006B0972" w:rsidRDefault="007363D1" w:rsidP="007363D1">
      <w:r w:rsidRPr="006B0972">
        <w:t>Where trench excavated through pavement compact upper layer of basecourse gravel to 100% relative compaction and reinstate surface.</w:t>
      </w:r>
    </w:p>
    <w:p w14:paraId="7BDE2CCE" w14:textId="4F8CD67A" w:rsidR="007363D1" w:rsidRPr="006B0972" w:rsidRDefault="007363D1" w:rsidP="007363D1">
      <w:r w:rsidRPr="006B0972">
        <w:t xml:space="preserve">Backfill above solid wall pipes as specified in the </w:t>
      </w:r>
      <w:r w:rsidRPr="006B0972">
        <w:rPr>
          <w:b/>
        </w:rPr>
        <w:t>Backfill</w:t>
      </w:r>
      <w:r w:rsidRPr="006B0972">
        <w:t xml:space="preserve"> sub-clause, in the </w:t>
      </w:r>
      <w:r w:rsidRPr="006B0972">
        <w:rPr>
          <w:b/>
        </w:rPr>
        <w:t>Construction of Culverts and Structures</w:t>
      </w:r>
      <w:r w:rsidRPr="006B0972">
        <w:t xml:space="preserve"> clause</w:t>
      </w:r>
      <w:r w:rsidR="0000190C">
        <w:t xml:space="preserve"> in this work section</w:t>
      </w:r>
      <w:r w:rsidRPr="006B0972">
        <w:t>.</w:t>
      </w:r>
    </w:p>
    <w:p w14:paraId="1569E468" w14:textId="77777777" w:rsidR="007363D1" w:rsidRPr="006B0972" w:rsidRDefault="007363D1" w:rsidP="007363D1">
      <w:pPr>
        <w:pStyle w:val="Heading3"/>
        <w:numPr>
          <w:ilvl w:val="2"/>
          <w:numId w:val="14"/>
        </w:numPr>
      </w:pPr>
      <w:bookmarkStart w:id="139" w:name="_Toc390823743"/>
      <w:bookmarkStart w:id="140" w:name="_Toc391429435"/>
      <w:bookmarkStart w:id="141" w:name="_Toc396035113"/>
      <w:bookmarkStart w:id="142" w:name="_Toc398800504"/>
      <w:r w:rsidRPr="006B0972">
        <w:t>End Walls</w:t>
      </w:r>
      <w:bookmarkEnd w:id="139"/>
      <w:bookmarkEnd w:id="140"/>
      <w:bookmarkEnd w:id="141"/>
      <w:bookmarkEnd w:id="142"/>
      <w:r w:rsidRPr="006B0972">
        <w:t xml:space="preserve"> - Witness Point</w:t>
      </w:r>
    </w:p>
    <w:p w14:paraId="1A6C3024" w14:textId="77777777" w:rsidR="007363D1" w:rsidRPr="006B0972" w:rsidRDefault="007363D1" w:rsidP="007363D1">
      <w:r w:rsidRPr="006B0972">
        <w:t>Construct end walls at the outlet of subsoil drains as specified.</w:t>
      </w:r>
    </w:p>
    <w:p w14:paraId="437F9E0F" w14:textId="77777777" w:rsidR="007363D1" w:rsidRPr="006B0972" w:rsidRDefault="007363D1" w:rsidP="007363D1">
      <w:r w:rsidRPr="006B0972">
        <w:t>Secure 19 mm galvanised wire mesh over the opening.</w:t>
      </w:r>
    </w:p>
    <w:p w14:paraId="11DF7C25" w14:textId="77777777" w:rsidR="007363D1" w:rsidRPr="006B0972" w:rsidRDefault="007363D1" w:rsidP="007363D1">
      <w:r w:rsidRPr="006B0972">
        <w:t>Mark end walls with guide posts.</w:t>
      </w:r>
    </w:p>
    <w:p w14:paraId="45AA50FC" w14:textId="77777777" w:rsidR="007363D1" w:rsidRPr="006B0972" w:rsidRDefault="007363D1" w:rsidP="007363D1">
      <w:r w:rsidRPr="006B0972">
        <w:lastRenderedPageBreak/>
        <w:t>Clean out new work and existing work affected by the new work.</w:t>
      </w:r>
    </w:p>
    <w:p w14:paraId="31F1C092" w14:textId="77777777" w:rsidR="007363D1" w:rsidRPr="006B0972" w:rsidRDefault="007363D1" w:rsidP="007363D1">
      <w:r w:rsidRPr="006B0972">
        <w:rPr>
          <w:b/>
        </w:rPr>
        <w:t xml:space="preserve">Witness </w:t>
      </w:r>
      <w:proofErr w:type="gramStart"/>
      <w:r w:rsidRPr="006B0972">
        <w:rPr>
          <w:b/>
        </w:rPr>
        <w:t xml:space="preserve">Point </w:t>
      </w:r>
      <w:r w:rsidRPr="006B0972">
        <w:t xml:space="preserve"> -</w:t>
      </w:r>
      <w:proofErr w:type="gramEnd"/>
      <w:r w:rsidRPr="006B0972">
        <w:t xml:space="preserve"> Advise the Superintendent within 2 days of when cleaning out is completed.</w:t>
      </w:r>
    </w:p>
    <w:p w14:paraId="22755F88" w14:textId="77777777" w:rsidR="007363D1" w:rsidRPr="006B0972" w:rsidRDefault="007363D1" w:rsidP="007363D1">
      <w:pPr>
        <w:pStyle w:val="Heading2"/>
        <w:keepNext/>
        <w:widowControl/>
        <w:numPr>
          <w:ilvl w:val="1"/>
          <w:numId w:val="14"/>
        </w:numPr>
        <w:ind w:left="720" w:hanging="720"/>
      </w:pPr>
      <w:bookmarkStart w:id="143" w:name="_Toc390823744"/>
      <w:bookmarkStart w:id="144" w:name="_Toc391429436"/>
      <w:bookmarkStart w:id="145" w:name="_Toc396035114"/>
      <w:bookmarkStart w:id="146" w:name="_Toc398800505"/>
      <w:r w:rsidRPr="006B0972">
        <w:t>Conformance</w:t>
      </w:r>
      <w:bookmarkEnd w:id="143"/>
      <w:bookmarkEnd w:id="144"/>
      <w:bookmarkEnd w:id="145"/>
      <w:bookmarkEnd w:id="146"/>
    </w:p>
    <w:p w14:paraId="0BDEAA9E" w14:textId="530216E7" w:rsidR="007363D1" w:rsidRPr="006B0972" w:rsidRDefault="007363D1" w:rsidP="007363D1">
      <w:pPr>
        <w:keepNext/>
        <w:keepLines/>
      </w:pPr>
      <w:r w:rsidRPr="006B0972">
        <w:t xml:space="preserve">Conform to </w:t>
      </w:r>
      <w:r w:rsidRPr="006B0972">
        <w:fldChar w:fldCharType="begin"/>
      </w:r>
      <w:r w:rsidRPr="006B0972">
        <w:instrText xml:space="preserve"> REF _Ref435514016 \h  \* MERGEFORMAT </w:instrText>
      </w:r>
      <w:r w:rsidRPr="006B0972">
        <w:fldChar w:fldCharType="separate"/>
      </w:r>
      <w:r w:rsidR="003F2C70" w:rsidRPr="006B0972">
        <w:rPr>
          <w:b/>
          <w:i/>
        </w:rPr>
        <w:t>Table - Drainage Works Tolerances</w:t>
      </w:r>
      <w:r w:rsidRPr="006B0972">
        <w:fldChar w:fldCharType="end"/>
      </w:r>
      <w:r w:rsidRPr="006B0972">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7"/>
        <w:gridCol w:w="4647"/>
      </w:tblGrid>
      <w:tr w:rsidR="007363D1" w:rsidRPr="006B0972" w14:paraId="6A1D0FFC" w14:textId="77777777" w:rsidTr="00FC3F10">
        <w:trPr>
          <w:trHeight w:val="275"/>
        </w:trPr>
        <w:tc>
          <w:tcPr>
            <w:tcW w:w="5000" w:type="pct"/>
            <w:gridSpan w:val="2"/>
            <w:shd w:val="clear" w:color="auto" w:fill="auto"/>
          </w:tcPr>
          <w:p w14:paraId="78442A70" w14:textId="77777777" w:rsidR="007363D1" w:rsidRPr="006B0972" w:rsidRDefault="007363D1" w:rsidP="00E224D9">
            <w:pPr>
              <w:keepNext/>
              <w:keepLines/>
              <w:spacing w:after="0"/>
              <w:rPr>
                <w:b/>
                <w:i/>
              </w:rPr>
            </w:pPr>
            <w:bookmarkStart w:id="147" w:name="_Ref435514016"/>
            <w:r w:rsidRPr="006B0972">
              <w:rPr>
                <w:b/>
                <w:i/>
              </w:rPr>
              <w:t>Table - Drainage Works Tolerances</w:t>
            </w:r>
            <w:bookmarkEnd w:id="147"/>
          </w:p>
        </w:tc>
      </w:tr>
      <w:tr w:rsidR="007363D1" w:rsidRPr="006B0972" w14:paraId="11B849E3" w14:textId="77777777" w:rsidTr="00FC3F10">
        <w:trPr>
          <w:trHeight w:val="275"/>
        </w:trPr>
        <w:tc>
          <w:tcPr>
            <w:tcW w:w="2500" w:type="pct"/>
            <w:shd w:val="clear" w:color="auto" w:fill="auto"/>
          </w:tcPr>
          <w:p w14:paraId="77FB15C7" w14:textId="77777777" w:rsidR="007363D1" w:rsidRPr="006B0972" w:rsidRDefault="007363D1" w:rsidP="00E224D9">
            <w:pPr>
              <w:keepNext/>
              <w:keepLines/>
              <w:spacing w:after="0"/>
              <w:rPr>
                <w:b/>
              </w:rPr>
            </w:pPr>
            <w:r w:rsidRPr="006B0972">
              <w:rPr>
                <w:b/>
              </w:rPr>
              <w:t>Property/dimension</w:t>
            </w:r>
          </w:p>
        </w:tc>
        <w:tc>
          <w:tcPr>
            <w:tcW w:w="2500" w:type="pct"/>
            <w:shd w:val="clear" w:color="auto" w:fill="auto"/>
          </w:tcPr>
          <w:p w14:paraId="767F6E52" w14:textId="77777777" w:rsidR="007363D1" w:rsidRPr="006B0972" w:rsidRDefault="007363D1" w:rsidP="00E224D9">
            <w:pPr>
              <w:keepNext/>
              <w:keepLines/>
              <w:spacing w:after="0"/>
              <w:rPr>
                <w:b/>
              </w:rPr>
            </w:pPr>
            <w:r w:rsidRPr="006B0972">
              <w:rPr>
                <w:b/>
              </w:rPr>
              <w:t>Tolerance</w:t>
            </w:r>
          </w:p>
        </w:tc>
      </w:tr>
      <w:tr w:rsidR="007363D1" w:rsidRPr="006B0972" w14:paraId="68BEB037" w14:textId="77777777" w:rsidTr="00FC3F10">
        <w:trPr>
          <w:trHeight w:val="454"/>
        </w:trPr>
        <w:tc>
          <w:tcPr>
            <w:tcW w:w="2500" w:type="pct"/>
            <w:shd w:val="clear" w:color="auto" w:fill="auto"/>
            <w:vAlign w:val="center"/>
          </w:tcPr>
          <w:p w14:paraId="65F733F2" w14:textId="77777777" w:rsidR="007363D1" w:rsidRPr="006B0972" w:rsidRDefault="007363D1" w:rsidP="00E224D9">
            <w:pPr>
              <w:keepNext/>
              <w:keepLines/>
              <w:spacing w:after="0"/>
            </w:pPr>
            <w:r w:rsidRPr="006B0972">
              <w:t>Invert level and grade line</w:t>
            </w:r>
          </w:p>
        </w:tc>
        <w:tc>
          <w:tcPr>
            <w:tcW w:w="2500" w:type="pct"/>
            <w:shd w:val="clear" w:color="auto" w:fill="auto"/>
            <w:vAlign w:val="center"/>
          </w:tcPr>
          <w:p w14:paraId="5790CABE" w14:textId="77777777" w:rsidR="007363D1" w:rsidRPr="006B0972" w:rsidRDefault="007363D1" w:rsidP="00E224D9">
            <w:pPr>
              <w:keepNext/>
              <w:keepLines/>
              <w:spacing w:after="0"/>
            </w:pPr>
            <w:r w:rsidRPr="006B0972">
              <w:t>No ponding of water.</w:t>
            </w:r>
          </w:p>
        </w:tc>
      </w:tr>
      <w:tr w:rsidR="007363D1" w:rsidRPr="006B0972" w14:paraId="00DEFF6D" w14:textId="77777777" w:rsidTr="00FC3F10">
        <w:trPr>
          <w:trHeight w:val="275"/>
        </w:trPr>
        <w:tc>
          <w:tcPr>
            <w:tcW w:w="2500" w:type="pct"/>
            <w:shd w:val="clear" w:color="auto" w:fill="auto"/>
            <w:vAlign w:val="center"/>
          </w:tcPr>
          <w:p w14:paraId="767B1BF9" w14:textId="77777777" w:rsidR="007363D1" w:rsidRPr="006B0972" w:rsidRDefault="007363D1" w:rsidP="00E224D9">
            <w:pPr>
              <w:keepNext/>
              <w:keepLines/>
              <w:spacing w:after="0"/>
            </w:pPr>
            <w:r w:rsidRPr="006B0972">
              <w:t>Open unlined drains</w:t>
            </w:r>
          </w:p>
        </w:tc>
        <w:tc>
          <w:tcPr>
            <w:tcW w:w="2500" w:type="pct"/>
            <w:shd w:val="clear" w:color="auto" w:fill="auto"/>
            <w:vAlign w:val="center"/>
          </w:tcPr>
          <w:p w14:paraId="6BED122B" w14:textId="77777777" w:rsidR="007363D1" w:rsidRPr="006B0972" w:rsidRDefault="007363D1" w:rsidP="00E224D9">
            <w:pPr>
              <w:keepNext/>
              <w:keepLines/>
              <w:spacing w:after="0"/>
            </w:pPr>
            <w:r w:rsidRPr="006B0972">
              <w:t>+ or - 50 mm.</w:t>
            </w:r>
          </w:p>
        </w:tc>
      </w:tr>
      <w:tr w:rsidR="007363D1" w:rsidRPr="006B0972" w14:paraId="0EC37DD8" w14:textId="77777777" w:rsidTr="00FC3F10">
        <w:trPr>
          <w:trHeight w:val="466"/>
        </w:trPr>
        <w:tc>
          <w:tcPr>
            <w:tcW w:w="2500" w:type="pct"/>
            <w:shd w:val="clear" w:color="auto" w:fill="auto"/>
            <w:vAlign w:val="center"/>
          </w:tcPr>
          <w:p w14:paraId="05F99932" w14:textId="77777777" w:rsidR="007363D1" w:rsidRPr="006B0972" w:rsidRDefault="007363D1" w:rsidP="00E224D9">
            <w:pPr>
              <w:keepNext/>
              <w:keepLines/>
              <w:spacing w:after="0"/>
            </w:pPr>
            <w:r w:rsidRPr="006B0972">
              <w:t>Culverts or lined drains</w:t>
            </w:r>
          </w:p>
        </w:tc>
        <w:tc>
          <w:tcPr>
            <w:tcW w:w="2500" w:type="pct"/>
            <w:shd w:val="clear" w:color="auto" w:fill="auto"/>
            <w:vAlign w:val="center"/>
          </w:tcPr>
          <w:p w14:paraId="5376C72A" w14:textId="77777777" w:rsidR="007363D1" w:rsidRPr="006B0972" w:rsidRDefault="007363D1" w:rsidP="00E224D9">
            <w:pPr>
              <w:keepNext/>
              <w:keepLines/>
              <w:spacing w:after="0"/>
            </w:pPr>
            <w:r w:rsidRPr="006B0972">
              <w:t>+ or - 20 mm</w:t>
            </w:r>
          </w:p>
        </w:tc>
      </w:tr>
      <w:tr w:rsidR="007363D1" w:rsidRPr="006B0972" w14:paraId="37A1AD73" w14:textId="77777777" w:rsidTr="00FC3F10">
        <w:trPr>
          <w:trHeight w:val="275"/>
        </w:trPr>
        <w:tc>
          <w:tcPr>
            <w:tcW w:w="2500" w:type="pct"/>
            <w:shd w:val="clear" w:color="auto" w:fill="auto"/>
            <w:vAlign w:val="center"/>
          </w:tcPr>
          <w:p w14:paraId="7CBF8B0D" w14:textId="77777777" w:rsidR="007363D1" w:rsidRPr="006B0972" w:rsidRDefault="007363D1" w:rsidP="00E224D9">
            <w:pPr>
              <w:keepNext/>
              <w:keepLines/>
              <w:spacing w:after="0"/>
            </w:pPr>
            <w:r w:rsidRPr="006B0972">
              <w:t>Plan position</w:t>
            </w:r>
          </w:p>
        </w:tc>
        <w:tc>
          <w:tcPr>
            <w:tcW w:w="2500" w:type="pct"/>
            <w:shd w:val="clear" w:color="auto" w:fill="auto"/>
            <w:vAlign w:val="center"/>
          </w:tcPr>
          <w:p w14:paraId="5B466BC8" w14:textId="77777777" w:rsidR="007363D1" w:rsidRPr="006B0972" w:rsidRDefault="007363D1" w:rsidP="00E224D9">
            <w:pPr>
              <w:keepNext/>
              <w:keepLines/>
              <w:spacing w:after="0"/>
            </w:pPr>
            <w:r w:rsidRPr="006B0972">
              <w:t>+ or - 200 mm.</w:t>
            </w:r>
          </w:p>
        </w:tc>
      </w:tr>
      <w:tr w:rsidR="007363D1" w:rsidRPr="006B0972" w14:paraId="4C950021" w14:textId="77777777" w:rsidTr="00FC3F10">
        <w:trPr>
          <w:trHeight w:val="454"/>
        </w:trPr>
        <w:tc>
          <w:tcPr>
            <w:tcW w:w="2500" w:type="pct"/>
            <w:shd w:val="clear" w:color="auto" w:fill="auto"/>
            <w:vAlign w:val="center"/>
          </w:tcPr>
          <w:p w14:paraId="5087EDCB" w14:textId="77777777" w:rsidR="007363D1" w:rsidRPr="006B0972" w:rsidRDefault="007363D1" w:rsidP="00E224D9">
            <w:pPr>
              <w:keepNext/>
              <w:keepLines/>
              <w:spacing w:after="0"/>
            </w:pPr>
            <w:r w:rsidRPr="006B0972">
              <w:t>Culverts parallel to kerbs</w:t>
            </w:r>
          </w:p>
        </w:tc>
        <w:tc>
          <w:tcPr>
            <w:tcW w:w="2500" w:type="pct"/>
            <w:shd w:val="clear" w:color="auto" w:fill="auto"/>
            <w:vAlign w:val="center"/>
          </w:tcPr>
          <w:p w14:paraId="09BA567F" w14:textId="77777777" w:rsidR="007363D1" w:rsidRPr="006B0972" w:rsidRDefault="007363D1" w:rsidP="00E224D9">
            <w:pPr>
              <w:keepNext/>
              <w:keepLines/>
              <w:spacing w:after="0"/>
            </w:pPr>
            <w:r w:rsidRPr="006B0972">
              <w:t>+ or - 50 mm.</w:t>
            </w:r>
          </w:p>
        </w:tc>
      </w:tr>
      <w:tr w:rsidR="007363D1" w:rsidRPr="006B0972" w14:paraId="6F6F054E" w14:textId="77777777" w:rsidTr="00FC3F10">
        <w:trPr>
          <w:trHeight w:val="454"/>
        </w:trPr>
        <w:tc>
          <w:tcPr>
            <w:tcW w:w="2500" w:type="pct"/>
            <w:shd w:val="clear" w:color="auto" w:fill="auto"/>
            <w:vAlign w:val="center"/>
          </w:tcPr>
          <w:p w14:paraId="0B32E276" w14:textId="77777777" w:rsidR="007363D1" w:rsidRPr="006B0972" w:rsidRDefault="007363D1" w:rsidP="00E224D9">
            <w:pPr>
              <w:keepNext/>
              <w:keepLines/>
              <w:spacing w:after="0"/>
            </w:pPr>
            <w:r w:rsidRPr="006B0972">
              <w:t>Concrete structure dimension</w:t>
            </w:r>
          </w:p>
        </w:tc>
        <w:tc>
          <w:tcPr>
            <w:tcW w:w="2500" w:type="pct"/>
            <w:shd w:val="clear" w:color="auto" w:fill="auto"/>
            <w:vAlign w:val="center"/>
          </w:tcPr>
          <w:p w14:paraId="3A266EA2" w14:textId="77777777" w:rsidR="007363D1" w:rsidRPr="006B0972" w:rsidRDefault="007363D1" w:rsidP="00E224D9">
            <w:pPr>
              <w:keepNext/>
              <w:keepLines/>
              <w:spacing w:after="0"/>
            </w:pPr>
            <w:r w:rsidRPr="006B0972">
              <w:t>+ or - 5 mm.</w:t>
            </w:r>
          </w:p>
        </w:tc>
      </w:tr>
      <w:tr w:rsidR="007363D1" w:rsidRPr="006B0972" w14:paraId="4FD305C2" w14:textId="77777777" w:rsidTr="00FC3F10">
        <w:trPr>
          <w:trHeight w:val="466"/>
        </w:trPr>
        <w:tc>
          <w:tcPr>
            <w:tcW w:w="2500" w:type="pct"/>
            <w:shd w:val="clear" w:color="auto" w:fill="auto"/>
            <w:vAlign w:val="center"/>
          </w:tcPr>
          <w:p w14:paraId="112B73FB" w14:textId="77777777" w:rsidR="007363D1" w:rsidRPr="006B0972" w:rsidRDefault="007363D1" w:rsidP="00E224D9">
            <w:pPr>
              <w:keepNext/>
              <w:keepLines/>
              <w:spacing w:after="0"/>
            </w:pPr>
            <w:r w:rsidRPr="006B0972">
              <w:t>Concrete thickness:</w:t>
            </w:r>
          </w:p>
        </w:tc>
        <w:tc>
          <w:tcPr>
            <w:tcW w:w="2500" w:type="pct"/>
            <w:shd w:val="clear" w:color="auto" w:fill="auto"/>
            <w:vAlign w:val="center"/>
          </w:tcPr>
          <w:p w14:paraId="4B0D145D" w14:textId="77777777" w:rsidR="007363D1" w:rsidRPr="006B0972" w:rsidRDefault="007363D1" w:rsidP="00E224D9">
            <w:pPr>
              <w:keepNext/>
              <w:keepLines/>
              <w:spacing w:after="0"/>
            </w:pPr>
            <w:r w:rsidRPr="006B0972">
              <w:t>Not less than specified.</w:t>
            </w:r>
          </w:p>
        </w:tc>
      </w:tr>
      <w:tr w:rsidR="007363D1" w14:paraId="28849A70" w14:textId="77777777" w:rsidTr="00FC3F10">
        <w:trPr>
          <w:trHeight w:val="466"/>
        </w:trPr>
        <w:tc>
          <w:tcPr>
            <w:tcW w:w="2500" w:type="pct"/>
            <w:shd w:val="clear" w:color="auto" w:fill="auto"/>
            <w:vAlign w:val="center"/>
          </w:tcPr>
          <w:p w14:paraId="6D90B260" w14:textId="77777777" w:rsidR="007363D1" w:rsidRPr="006B0972" w:rsidRDefault="007363D1" w:rsidP="00E224D9">
            <w:pPr>
              <w:spacing w:after="0"/>
            </w:pPr>
            <w:r w:rsidRPr="006B0972">
              <w:t>Subsoil drain slope</w:t>
            </w:r>
          </w:p>
        </w:tc>
        <w:tc>
          <w:tcPr>
            <w:tcW w:w="2500" w:type="pct"/>
            <w:shd w:val="clear" w:color="auto" w:fill="auto"/>
            <w:vAlign w:val="center"/>
          </w:tcPr>
          <w:p w14:paraId="6317F0FA" w14:textId="77777777" w:rsidR="007363D1" w:rsidRDefault="007363D1" w:rsidP="00E224D9">
            <w:pPr>
              <w:spacing w:after="0"/>
            </w:pPr>
            <w:r w:rsidRPr="006B0972">
              <w:t>25 mm maximum sag in 8 m.</w:t>
            </w:r>
          </w:p>
        </w:tc>
      </w:tr>
    </w:tbl>
    <w:p w14:paraId="02257895" w14:textId="77777777" w:rsidR="007363D1" w:rsidRPr="004A377A" w:rsidRDefault="007363D1" w:rsidP="007363D1"/>
    <w:sectPr w:rsidR="007363D1" w:rsidRPr="004A377A">
      <w:headerReference w:type="even" r:id="rId9"/>
      <w:headerReference w:type="default" r:id="rId10"/>
      <w:footerReference w:type="even" r:id="rId11"/>
      <w:footerReference w:type="default" r:id="rId12"/>
      <w:headerReference w:type="first" r:id="rId13"/>
      <w:footerReference w:type="first" r:id="rId14"/>
      <w:pgSz w:w="11907" w:h="16834" w:code="9"/>
      <w:pgMar w:top="1440" w:right="1151" w:bottom="1440" w:left="1151" w:header="720" w:footer="720" w:gutter="30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59C226" w14:textId="77777777" w:rsidR="005A62B5" w:rsidRDefault="005A62B5">
      <w:r>
        <w:separator/>
      </w:r>
    </w:p>
  </w:endnote>
  <w:endnote w:type="continuationSeparator" w:id="0">
    <w:p w14:paraId="28F81F76" w14:textId="77777777" w:rsidR="005A62B5" w:rsidRDefault="005A6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44835" w14:textId="77777777" w:rsidR="00F24570" w:rsidRDefault="00F245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27DA9" w14:textId="77777777" w:rsidR="00F24570" w:rsidRPr="00BD693E" w:rsidRDefault="00F24570" w:rsidP="00BD693E">
    <w:pPr>
      <w:pStyle w:val="Header"/>
      <w:spacing w:after="0"/>
      <w:rPr>
        <w:vanish/>
        <w:color w:val="FF0000"/>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52CCC" w14:textId="77777777" w:rsidR="00F24570" w:rsidRDefault="00F245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BE0A5D" w14:textId="77777777" w:rsidR="005A62B5" w:rsidRDefault="005A62B5">
      <w:r>
        <w:separator/>
      </w:r>
    </w:p>
  </w:footnote>
  <w:footnote w:type="continuationSeparator" w:id="0">
    <w:p w14:paraId="63E73483" w14:textId="77777777" w:rsidR="005A62B5" w:rsidRDefault="005A62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7BA0B0" w14:textId="77777777" w:rsidR="00D33625" w:rsidRDefault="00D33625">
    <w:pPr>
      <w:pStyle w:val="Header"/>
      <w:pBdr>
        <w:bottom w:val="single" w:sz="4" w:space="1" w:color="auto"/>
      </w:pBdr>
      <w:spacing w:after="120"/>
    </w:pPr>
    <w:r>
      <w:t>DRAINAGE WORKS</w:t>
    </w:r>
    <w:r>
      <w:rPr>
        <w:rStyle w:val="masterspecversion"/>
      </w:rPr>
      <w:t>&lt;&lt;T&amp;W Roadworks Master – Oct 2001&gt;&gt;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79682" w14:textId="77777777" w:rsidR="00D33625" w:rsidRPr="00BD693E" w:rsidRDefault="00D33625" w:rsidP="00BD693E">
    <w:pPr>
      <w:pStyle w:val="Header"/>
      <w:spacing w:after="0"/>
      <w:rPr>
        <w:vanish/>
        <w:color w:val="FF0000"/>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C0C2D" w14:textId="77777777" w:rsidR="00F24570" w:rsidRDefault="00F245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1DCF0F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ED905E60"/>
    <w:lvl w:ilvl="0">
      <w:start w:val="12"/>
      <w:numFmt w:val="decimal"/>
      <w:lvlText w:val="%1."/>
      <w:lvlJc w:val="left"/>
      <w:pPr>
        <w:tabs>
          <w:tab w:val="num" w:pos="36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FFFFFFFE"/>
    <w:multiLevelType w:val="singleLevel"/>
    <w:tmpl w:val="2D9064B4"/>
    <w:lvl w:ilvl="0">
      <w:numFmt w:val="decimal"/>
      <w:pStyle w:val="IndentBH"/>
      <w:lvlText w:val="*"/>
      <w:lvlJc w:val="left"/>
    </w:lvl>
  </w:abstractNum>
  <w:abstractNum w:abstractNumId="3"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A3A5C71"/>
    <w:multiLevelType w:val="hybridMultilevel"/>
    <w:tmpl w:val="39780926"/>
    <w:lvl w:ilvl="0" w:tplc="79BC88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C3D15E9"/>
    <w:multiLevelType w:val="hybridMultilevel"/>
    <w:tmpl w:val="A53EAD98"/>
    <w:lvl w:ilvl="0" w:tplc="073A86AE">
      <w:start w:val="12"/>
      <w:numFmt w:val="bullet"/>
      <w:lvlText w:val="-"/>
      <w:lvlJc w:val="left"/>
      <w:pPr>
        <w:ind w:left="720" w:hanging="360"/>
      </w:pPr>
      <w:rPr>
        <w:rFonts w:ascii="Arial" w:hAnsi="Arial" w:hint="default"/>
        <w:color w:val="0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3AA6FB5"/>
    <w:multiLevelType w:val="singleLevel"/>
    <w:tmpl w:val="8DA0C186"/>
    <w:lvl w:ilvl="0">
      <w:start w:val="1"/>
      <w:numFmt w:val="lowerLetter"/>
      <w:lvlText w:val="%1)"/>
      <w:legacy w:legacy="1" w:legacySpace="0" w:legacyIndent="720"/>
      <w:lvlJc w:val="left"/>
      <w:pPr>
        <w:ind w:left="1440" w:hanging="720"/>
      </w:pPr>
    </w:lvl>
  </w:abstractNum>
  <w:abstractNum w:abstractNumId="7" w15:restartNumberingAfterBreak="0">
    <w:nsid w:val="2721642B"/>
    <w:multiLevelType w:val="hybridMultilevel"/>
    <w:tmpl w:val="3678E3E2"/>
    <w:lvl w:ilvl="0" w:tplc="3118CFBA">
      <w:numFmt w:val="bullet"/>
      <w:lvlText w:val="-"/>
      <w:lvlJc w:val="left"/>
      <w:pPr>
        <w:tabs>
          <w:tab w:val="num" w:pos="720"/>
        </w:tabs>
        <w:ind w:left="720" w:hanging="360"/>
      </w:pPr>
      <w:rPr>
        <w:rFonts w:ascii="Arial" w:eastAsia="Times New Roman" w:hAnsi="Arial" w:cs="Arial" w:hint="default"/>
      </w:rPr>
    </w:lvl>
    <w:lvl w:ilvl="1" w:tplc="DFDCBFD4">
      <w:start w:val="1"/>
      <w:numFmt w:val="bullet"/>
      <w:lvlText w:val=""/>
      <w:lvlJc w:val="left"/>
      <w:pPr>
        <w:tabs>
          <w:tab w:val="num" w:pos="1440"/>
        </w:tabs>
        <w:ind w:left="1440" w:hanging="360"/>
      </w:pPr>
      <w:rPr>
        <w:rFonts w:ascii="Symbol" w:eastAsia="Times New Roman" w:hAnsi="Symbol" w:cs="Times New Roman"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77060F"/>
    <w:multiLevelType w:val="hybridMultilevel"/>
    <w:tmpl w:val="2250D146"/>
    <w:lvl w:ilvl="0" w:tplc="073A86AE">
      <w:start w:val="12"/>
      <w:numFmt w:val="bullet"/>
      <w:lvlText w:val="-"/>
      <w:lvlJc w:val="left"/>
      <w:pPr>
        <w:ind w:left="720" w:hanging="360"/>
      </w:pPr>
      <w:rPr>
        <w:rFonts w:ascii="Arial" w:hAnsi="Arial" w:hint="default"/>
        <w:color w:val="0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C7368E6"/>
    <w:multiLevelType w:val="multilevel"/>
    <w:tmpl w:val="3710C4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11" w15:restartNumberingAfterBreak="0">
    <w:nsid w:val="3EB61473"/>
    <w:multiLevelType w:val="hybridMultilevel"/>
    <w:tmpl w:val="52FE2A78"/>
    <w:lvl w:ilvl="0" w:tplc="073A86AE">
      <w:start w:val="12"/>
      <w:numFmt w:val="bullet"/>
      <w:lvlText w:val="-"/>
      <w:lvlJc w:val="left"/>
      <w:pPr>
        <w:ind w:left="720" w:hanging="360"/>
      </w:pPr>
      <w:rPr>
        <w:rFonts w:ascii="Arial" w:hAnsi="Arial" w:hint="default"/>
        <w:color w:val="0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12B3FC6"/>
    <w:multiLevelType w:val="hybridMultilevel"/>
    <w:tmpl w:val="F1CE216C"/>
    <w:lvl w:ilvl="0" w:tplc="7D6ADE9C">
      <w:start w:val="12"/>
      <w:numFmt w:val="bullet"/>
      <w:lvlText w:val="-"/>
      <w:lvlJc w:val="left"/>
      <w:pPr>
        <w:ind w:left="720" w:hanging="360"/>
      </w:pPr>
      <w:rPr>
        <w:rFonts w:ascii="Arial" w:eastAsia="Times New Roman" w:hAnsi="Arial" w:cs="Arial" w:hint="default"/>
        <w:color w:val="0070C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D2E7145"/>
    <w:multiLevelType w:val="singleLevel"/>
    <w:tmpl w:val="8DA0C186"/>
    <w:lvl w:ilvl="0">
      <w:start w:val="1"/>
      <w:numFmt w:val="lowerLetter"/>
      <w:lvlText w:val="%1)"/>
      <w:legacy w:legacy="1" w:legacySpace="0" w:legacyIndent="720"/>
      <w:lvlJc w:val="left"/>
      <w:pPr>
        <w:ind w:left="1440" w:hanging="720"/>
      </w:pPr>
    </w:lvl>
  </w:abstractNum>
  <w:abstractNum w:abstractNumId="14"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abstractNum w:abstractNumId="16" w15:restartNumberingAfterBreak="0">
    <w:nsid w:val="7058247A"/>
    <w:multiLevelType w:val="hybridMultilevel"/>
    <w:tmpl w:val="50A2AD60"/>
    <w:lvl w:ilvl="0" w:tplc="7D6ADE9C">
      <w:start w:val="12"/>
      <w:numFmt w:val="bullet"/>
      <w:lvlText w:val="-"/>
      <w:lvlJc w:val="left"/>
      <w:pPr>
        <w:ind w:left="720" w:hanging="360"/>
      </w:pPr>
      <w:rPr>
        <w:rFonts w:ascii="Arial" w:eastAsia="Times New Roman" w:hAnsi="Arial" w:cs="Arial" w:hint="default"/>
        <w:color w:val="0070C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3">
    <w:abstractNumId w:val="6"/>
  </w:num>
  <w:num w:numId="4">
    <w:abstractNumId w:val="13"/>
  </w:num>
  <w:num w:numId="5">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6">
    <w:abstractNumId w:val="0"/>
  </w:num>
  <w:num w:numId="7">
    <w:abstractNumId w:val="0"/>
  </w:num>
  <w:num w:numId="8">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9">
    <w:abstractNumId w:val="0"/>
  </w:num>
  <w:num w:numId="10">
    <w:abstractNumId w:val="12"/>
  </w:num>
  <w:num w:numId="11">
    <w:abstractNumId w:val="16"/>
  </w:num>
  <w:num w:numId="12">
    <w:abstractNumId w:val="8"/>
  </w:num>
  <w:num w:numId="13">
    <w:abstractNumId w:val="7"/>
  </w:num>
  <w:num w:numId="14">
    <w:abstractNumId w:val="9"/>
  </w:num>
  <w:num w:numId="15">
    <w:abstractNumId w:val="9"/>
  </w:num>
  <w:num w:numId="16">
    <w:abstractNumId w:val="10"/>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14"/>
  </w:num>
  <w:num w:numId="25">
    <w:abstractNumId w:val="15"/>
  </w:num>
  <w:num w:numId="26">
    <w:abstractNumId w:val="3"/>
  </w:num>
  <w:num w:numId="27">
    <w:abstractNumId w:val="9"/>
  </w:num>
  <w:num w:numId="28">
    <w:abstractNumId w:val="11"/>
  </w:num>
  <w:num w:numId="29">
    <w:abstractNumId w:val="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eTemplateCatalog_1" w:val="&lt;ActiveDocsTemplateCatalog&gt;_x000d__x000a_  &lt;TP&gt;_x000d__x000a_    &lt;Name&gt;DocStructure&lt;/Name&gt;_x000d__x000a_    &lt;Value&gt;&amp;lt;Document /&amp;gt;&lt;/Value&gt;_x000d__x000a_  &lt;/TP&gt;_x000d__x000a_  &lt;TP&gt;_x000d__x000a_    &lt;Name&gt;wizardorder&lt;/Name&gt;_x000d__x000a_    &lt;Value&gt;&amp;lt;wizardorder&amp;gt;&amp;lt;/wizardorder&amp;gt;&lt;/Value&gt;_x000d__x000a_  &lt;/TP&gt;_x000d__x000a_&lt;/ActiveDocsTemplateCatalog&gt;"/>
    <w:docVar w:name="adID" w:val="060F88A4339A41E293A0DD45C4F58A21"/>
    <w:docVar w:name="adVersion" w:val="7.1"/>
  </w:docVars>
  <w:rsids>
    <w:rsidRoot w:val="00A84251"/>
    <w:rsid w:val="0000190C"/>
    <w:rsid w:val="00026E43"/>
    <w:rsid w:val="0003187E"/>
    <w:rsid w:val="00047079"/>
    <w:rsid w:val="00057887"/>
    <w:rsid w:val="00076440"/>
    <w:rsid w:val="00091959"/>
    <w:rsid w:val="00095F8B"/>
    <w:rsid w:val="000A5FF5"/>
    <w:rsid w:val="000C6CD3"/>
    <w:rsid w:val="00106EA2"/>
    <w:rsid w:val="0011251F"/>
    <w:rsid w:val="0012299A"/>
    <w:rsid w:val="00123CC3"/>
    <w:rsid w:val="00124302"/>
    <w:rsid w:val="0018617F"/>
    <w:rsid w:val="001A34D9"/>
    <w:rsid w:val="001A69E6"/>
    <w:rsid w:val="001B396B"/>
    <w:rsid w:val="001B401F"/>
    <w:rsid w:val="00227970"/>
    <w:rsid w:val="0023373E"/>
    <w:rsid w:val="002639F1"/>
    <w:rsid w:val="002D6BEE"/>
    <w:rsid w:val="002F7118"/>
    <w:rsid w:val="00302F32"/>
    <w:rsid w:val="00303887"/>
    <w:rsid w:val="00336D26"/>
    <w:rsid w:val="0038148F"/>
    <w:rsid w:val="003D0D6E"/>
    <w:rsid w:val="003F28AB"/>
    <w:rsid w:val="003F2C70"/>
    <w:rsid w:val="00440AC2"/>
    <w:rsid w:val="00445531"/>
    <w:rsid w:val="0047415E"/>
    <w:rsid w:val="0048199A"/>
    <w:rsid w:val="00552CC0"/>
    <w:rsid w:val="005714DF"/>
    <w:rsid w:val="00574647"/>
    <w:rsid w:val="005A62B5"/>
    <w:rsid w:val="005C57E3"/>
    <w:rsid w:val="005D3C87"/>
    <w:rsid w:val="00606345"/>
    <w:rsid w:val="00620BD3"/>
    <w:rsid w:val="00652980"/>
    <w:rsid w:val="006A0998"/>
    <w:rsid w:val="006A6CB3"/>
    <w:rsid w:val="006B0972"/>
    <w:rsid w:val="006C481E"/>
    <w:rsid w:val="006F1D6B"/>
    <w:rsid w:val="00702C3D"/>
    <w:rsid w:val="007210E1"/>
    <w:rsid w:val="007256BD"/>
    <w:rsid w:val="007363D1"/>
    <w:rsid w:val="00742DB5"/>
    <w:rsid w:val="00747555"/>
    <w:rsid w:val="007502B9"/>
    <w:rsid w:val="00784196"/>
    <w:rsid w:val="00791910"/>
    <w:rsid w:val="00793DA0"/>
    <w:rsid w:val="00797D15"/>
    <w:rsid w:val="007C0A28"/>
    <w:rsid w:val="007F2850"/>
    <w:rsid w:val="00830DB8"/>
    <w:rsid w:val="00873CDB"/>
    <w:rsid w:val="008760A6"/>
    <w:rsid w:val="008A3305"/>
    <w:rsid w:val="008A5DD4"/>
    <w:rsid w:val="008E3A6C"/>
    <w:rsid w:val="009049C0"/>
    <w:rsid w:val="00932AB6"/>
    <w:rsid w:val="00950A97"/>
    <w:rsid w:val="00974AF2"/>
    <w:rsid w:val="009819DA"/>
    <w:rsid w:val="00994B46"/>
    <w:rsid w:val="009E4EF6"/>
    <w:rsid w:val="00A12ED2"/>
    <w:rsid w:val="00A24301"/>
    <w:rsid w:val="00A55C7D"/>
    <w:rsid w:val="00A84251"/>
    <w:rsid w:val="00AD070B"/>
    <w:rsid w:val="00AD3B3F"/>
    <w:rsid w:val="00AE2C97"/>
    <w:rsid w:val="00AF29C0"/>
    <w:rsid w:val="00AF7D6A"/>
    <w:rsid w:val="00B16191"/>
    <w:rsid w:val="00B2221E"/>
    <w:rsid w:val="00B439F5"/>
    <w:rsid w:val="00B5706F"/>
    <w:rsid w:val="00B743B4"/>
    <w:rsid w:val="00B96C77"/>
    <w:rsid w:val="00BD170C"/>
    <w:rsid w:val="00BD693E"/>
    <w:rsid w:val="00C16BE0"/>
    <w:rsid w:val="00C31439"/>
    <w:rsid w:val="00C73FE3"/>
    <w:rsid w:val="00CB50F6"/>
    <w:rsid w:val="00CC180D"/>
    <w:rsid w:val="00CE7263"/>
    <w:rsid w:val="00D33625"/>
    <w:rsid w:val="00D616BC"/>
    <w:rsid w:val="00D9033D"/>
    <w:rsid w:val="00D9409C"/>
    <w:rsid w:val="00DB0A48"/>
    <w:rsid w:val="00DC243E"/>
    <w:rsid w:val="00DC25A7"/>
    <w:rsid w:val="00DC2F19"/>
    <w:rsid w:val="00DE073C"/>
    <w:rsid w:val="00E224D9"/>
    <w:rsid w:val="00EA55C0"/>
    <w:rsid w:val="00F21DAE"/>
    <w:rsid w:val="00F24570"/>
    <w:rsid w:val="00F35053"/>
    <w:rsid w:val="00F3767D"/>
    <w:rsid w:val="00F76A3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432F73"/>
  <w15:docId w15:val="{AF0FA2A6-5FC9-4339-AD02-FFD759072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5DD4"/>
    <w:pPr>
      <w:widowControl w:val="0"/>
      <w:spacing w:after="200"/>
    </w:pPr>
    <w:rPr>
      <w:rFonts w:ascii="Arial" w:hAnsi="Arial"/>
      <w:sz w:val="22"/>
      <w:lang w:val="en-AU" w:eastAsia="en-AU"/>
    </w:rPr>
  </w:style>
  <w:style w:type="paragraph" w:styleId="Heading1">
    <w:name w:val="heading 1"/>
    <w:aliases w:val="Heading 1 Section Heading,n,1,A MAJOR/BOLD,h1,A MAJOR/BOLD1,h11,. (1.0),alison,a-Heading 1,h12,Heading 1(Report Only),1.,Heading A,SP-Section,Heading 1a,H1,C,Chapter,ueshead,Section Heading,Head1,Heading apps,Chapter/Section,(Chapter Nbr),D&amp;M"/>
    <w:basedOn w:val="Normal"/>
    <w:next w:val="Normal"/>
    <w:link w:val="Heading1Char"/>
    <w:qFormat/>
    <w:rsid w:val="00BD693E"/>
    <w:pPr>
      <w:numPr>
        <w:numId w:val="27"/>
      </w:numPr>
      <w:spacing w:after="120"/>
      <w:ind w:left="431" w:hanging="431"/>
      <w:outlineLvl w:val="0"/>
    </w:pPr>
    <w:rPr>
      <w:rFonts w:eastAsiaTheme="majorEastAsia" w:cstheme="majorBidi"/>
      <w:b/>
      <w:bCs/>
      <w:caps/>
      <w:kern w:val="32"/>
      <w:sz w:val="32"/>
      <w:szCs w:val="32"/>
    </w:rPr>
  </w:style>
  <w:style w:type="paragraph" w:styleId="Heading2">
    <w:name w:val="heading 2"/>
    <w:basedOn w:val="Normal"/>
    <w:next w:val="Normal"/>
    <w:link w:val="Heading2Char"/>
    <w:unhideWhenUsed/>
    <w:qFormat/>
    <w:rsid w:val="008A5DD4"/>
    <w:pPr>
      <w:numPr>
        <w:ilvl w:val="1"/>
        <w:numId w:val="27"/>
      </w:numPr>
      <w:spacing w:before="240" w:after="120"/>
      <w:outlineLvl w:val="1"/>
    </w:pPr>
    <w:rPr>
      <w:rFonts w:eastAsiaTheme="majorEastAsia" w:cstheme="majorBidi"/>
      <w:b/>
      <w:bCs/>
      <w:iCs/>
      <w:caps/>
      <w:color w:val="606060"/>
      <w:sz w:val="28"/>
      <w:szCs w:val="28"/>
      <w:lang w:val="en-US"/>
    </w:rPr>
  </w:style>
  <w:style w:type="paragraph" w:styleId="Heading3">
    <w:name w:val="heading 3"/>
    <w:basedOn w:val="Normal"/>
    <w:next w:val="Normal"/>
    <w:link w:val="Heading3Char"/>
    <w:qFormat/>
    <w:rsid w:val="008A5DD4"/>
    <w:pPr>
      <w:numPr>
        <w:ilvl w:val="2"/>
        <w:numId w:val="27"/>
      </w:numPr>
      <w:spacing w:before="240" w:after="120"/>
      <w:outlineLvl w:val="2"/>
    </w:pPr>
    <w:rPr>
      <w:rFonts w:cs="Arial"/>
      <w:b/>
      <w:bCs/>
      <w:sz w:val="24"/>
      <w:szCs w:val="26"/>
      <w:lang w:val="en-US"/>
    </w:rPr>
  </w:style>
  <w:style w:type="paragraph" w:styleId="Heading4">
    <w:name w:val="heading 4"/>
    <w:aliases w:val="h4,h41,H4,Heading 4 Char Char,SP-Text,Heading 4 - special,L,Heading 4 Char1,Heading 4 Char1 Char Char,Heading 4 Char Char Char Char,Heading 4 Char1 Char Char Char Char,Heading 4 Char Char Char Char Char Char,Heading 4 Char1 Char1,H-4,. (A.),d"/>
    <w:basedOn w:val="Normal"/>
    <w:next w:val="Normal"/>
    <w:link w:val="Heading4Char"/>
    <w:uiPriority w:val="9"/>
    <w:unhideWhenUsed/>
    <w:qFormat/>
    <w:rsid w:val="008A5DD4"/>
    <w:pPr>
      <w:numPr>
        <w:ilvl w:val="3"/>
        <w:numId w:val="27"/>
      </w:numPr>
      <w:spacing w:before="240" w:after="120"/>
      <w:outlineLvl w:val="3"/>
    </w:pPr>
    <w:rPr>
      <w:rFonts w:eastAsiaTheme="majorEastAsia" w:cstheme="majorBidi"/>
      <w:b/>
      <w:bCs/>
      <w:iCs/>
      <w:color w:val="606060"/>
    </w:rPr>
  </w:style>
  <w:style w:type="paragraph" w:styleId="Heading5">
    <w:name w:val="heading 5"/>
    <w:basedOn w:val="Normal"/>
    <w:next w:val="Normal"/>
    <w:link w:val="Heading5Char"/>
    <w:uiPriority w:val="9"/>
    <w:unhideWhenUsed/>
    <w:qFormat/>
    <w:rsid w:val="008A5DD4"/>
    <w:pPr>
      <w:keepNext/>
      <w:keepLines/>
      <w:numPr>
        <w:ilvl w:val="4"/>
        <w:numId w:val="27"/>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aliases w:val="Spec Text"/>
    <w:basedOn w:val="Normal"/>
    <w:next w:val="Normal"/>
    <w:link w:val="Heading6Char"/>
    <w:uiPriority w:val="9"/>
    <w:unhideWhenUsed/>
    <w:qFormat/>
    <w:rsid w:val="008A5DD4"/>
    <w:pPr>
      <w:keepNext/>
      <w:keepLines/>
      <w:numPr>
        <w:ilvl w:val="5"/>
        <w:numId w:val="27"/>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unhideWhenUsed/>
    <w:qFormat/>
    <w:rsid w:val="008A5DD4"/>
    <w:pPr>
      <w:keepNext/>
      <w:keepLines/>
      <w:numPr>
        <w:ilvl w:val="6"/>
        <w:numId w:val="2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8A5DD4"/>
    <w:pPr>
      <w:keepNext/>
      <w:keepLines/>
      <w:numPr>
        <w:ilvl w:val="7"/>
        <w:numId w:val="27"/>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qFormat/>
    <w:rsid w:val="008A5DD4"/>
    <w:pPr>
      <w:keepNext/>
      <w:keepLines/>
      <w:numPr>
        <w:ilvl w:val="8"/>
        <w:numId w:val="27"/>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SList">
    <w:name w:val="AS_List"/>
    <w:basedOn w:val="Normal"/>
    <w:pPr>
      <w:ind w:left="1440" w:hanging="1440"/>
    </w:pPr>
    <w:rPr>
      <w:lang w:val="en-US"/>
    </w:rPr>
  </w:style>
  <w:style w:type="paragraph" w:customStyle="1" w:styleId="Indent2H">
    <w:name w:val="Indent2_H"/>
    <w:basedOn w:val="IndentBH"/>
    <w:pPr>
      <w:ind w:left="2880" w:hanging="2880"/>
    </w:pPr>
  </w:style>
  <w:style w:type="paragraph" w:customStyle="1" w:styleId="IndentBH">
    <w:name w:val="IndentB_H"/>
    <w:basedOn w:val="Normal"/>
    <w:pPr>
      <w:numPr>
        <w:numId w:val="8"/>
      </w:numPr>
      <w:spacing w:before="60" w:after="60"/>
      <w:ind w:left="720" w:hanging="720"/>
      <w:jc w:val="both"/>
    </w:pPr>
    <w:rPr>
      <w:lang w:val="en-US"/>
    </w:rPr>
  </w:style>
  <w:style w:type="paragraph" w:customStyle="1" w:styleId="TStyle">
    <w:name w:val="TStyle"/>
    <w:basedOn w:val="Normal"/>
    <w:rPr>
      <w:lang w:val="en-US"/>
    </w:rPr>
  </w:style>
  <w:style w:type="paragraph" w:customStyle="1" w:styleId="BoldCapital">
    <w:name w:val="Bold Capital"/>
    <w:basedOn w:val="Normal"/>
    <w:pPr>
      <w:spacing w:before="40" w:after="40"/>
    </w:pPr>
    <w:rPr>
      <w:b/>
      <w:caps/>
      <w:lang w:val="en-US"/>
    </w:rPr>
  </w:style>
  <w:style w:type="character" w:customStyle="1" w:styleId="masterspecversion">
    <w:name w:val="master spec version"/>
    <w:rPr>
      <w:rFonts w:ascii="Arial" w:hAnsi="Arial"/>
      <w:smallCaps/>
      <w:vanish/>
      <w:color w:val="0000FF"/>
      <w:sz w:val="18"/>
    </w:rPr>
  </w:style>
  <w:style w:type="paragraph" w:styleId="Header">
    <w:name w:val="header"/>
    <w:basedOn w:val="Normal"/>
    <w:next w:val="Normal"/>
    <w:link w:val="HeaderChar"/>
    <w:unhideWhenUsed/>
    <w:rsid w:val="008A5DD4"/>
    <w:pPr>
      <w:tabs>
        <w:tab w:val="center" w:pos="4513"/>
        <w:tab w:val="right" w:pos="9026"/>
      </w:tabs>
      <w:jc w:val="right"/>
    </w:pPr>
    <w:rPr>
      <w:b/>
    </w:rPr>
  </w:style>
  <w:style w:type="paragraph" w:styleId="Footer">
    <w:name w:val="footer"/>
    <w:basedOn w:val="Normal"/>
    <w:next w:val="Normal"/>
    <w:link w:val="FooterChar"/>
    <w:uiPriority w:val="99"/>
    <w:unhideWhenUsed/>
    <w:rsid w:val="008A5DD4"/>
    <w:pPr>
      <w:tabs>
        <w:tab w:val="right" w:pos="9639"/>
        <w:tab w:val="right" w:pos="14459"/>
      </w:tabs>
      <w:spacing w:after="0"/>
      <w:ind w:left="-709" w:right="-340"/>
    </w:pPr>
    <w:rPr>
      <w:rFonts w:cs="Arial"/>
      <w:szCs w:val="22"/>
    </w:rPr>
  </w:style>
  <w:style w:type="paragraph" w:styleId="ListBullet">
    <w:name w:val="List Bullet"/>
    <w:basedOn w:val="Normal"/>
    <w:autoRedefine/>
    <w:pPr>
      <w:numPr>
        <w:numId w:val="9"/>
      </w:numPr>
    </w:pPr>
  </w:style>
  <w:style w:type="paragraph" w:customStyle="1" w:styleId="BodyText">
    <w:name w:val="BodyText"/>
    <w:basedOn w:val="Normal"/>
    <w:link w:val="BodyTextChar"/>
    <w:pPr>
      <w:spacing w:before="60" w:after="60"/>
      <w:jc w:val="both"/>
    </w:pPr>
    <w:rPr>
      <w:lang w:val="en-US"/>
    </w:rPr>
  </w:style>
  <w:style w:type="paragraph" w:customStyle="1" w:styleId="guidenotes">
    <w:name w:val="guide notes"/>
    <w:basedOn w:val="Normal"/>
    <w:next w:val="Normal"/>
    <w:link w:val="guidenotesChar"/>
    <w:qFormat/>
    <w:pPr>
      <w:tabs>
        <w:tab w:val="left" w:pos="3175"/>
      </w:tabs>
      <w:ind w:left="3175"/>
    </w:pPr>
    <w:rPr>
      <w:i/>
      <w:vanish/>
      <w:color w:val="00FF00"/>
      <w:spacing w:val="-2"/>
      <w:lang w:val="en-US"/>
    </w:rPr>
  </w:style>
  <w:style w:type="paragraph" w:customStyle="1" w:styleId="BoldLowercase">
    <w:name w:val="Bold Lowercase"/>
    <w:basedOn w:val="Normal"/>
    <w:pPr>
      <w:spacing w:before="20" w:after="20"/>
    </w:pPr>
    <w:rPr>
      <w:b/>
      <w:lang w:val="en-US"/>
    </w:rPr>
  </w:style>
  <w:style w:type="paragraph" w:styleId="BodyText0">
    <w:name w:val="Body Text"/>
    <w:aliases w:val="P,(Alt+1),Char Char"/>
    <w:basedOn w:val="Normal"/>
    <w:link w:val="BodyTextChar0"/>
    <w:pPr>
      <w:spacing w:after="120"/>
    </w:pPr>
  </w:style>
  <w:style w:type="paragraph" w:styleId="DocumentMap">
    <w:name w:val="Document Map"/>
    <w:basedOn w:val="Normal"/>
    <w:semiHidden/>
    <w:pPr>
      <w:shd w:val="clear" w:color="auto" w:fill="000080"/>
    </w:pPr>
    <w:rPr>
      <w:rFonts w:ascii="Tahoma" w:hAnsi="Tahoma"/>
    </w:rPr>
  </w:style>
  <w:style w:type="paragraph" w:styleId="Revision">
    <w:name w:val="Revision"/>
    <w:hidden/>
    <w:uiPriority w:val="99"/>
    <w:semiHidden/>
    <w:rsid w:val="005C57E3"/>
    <w:rPr>
      <w:rFonts w:ascii="Arial" w:hAnsi="Arial"/>
      <w:lang w:val="en-AU" w:eastAsia="en-AU"/>
    </w:rPr>
  </w:style>
  <w:style w:type="paragraph" w:styleId="BalloonText">
    <w:name w:val="Balloon Text"/>
    <w:basedOn w:val="Normal"/>
    <w:link w:val="BalloonTextChar"/>
    <w:uiPriority w:val="99"/>
    <w:unhideWhenUsed/>
    <w:rsid w:val="008A5DD4"/>
    <w:rPr>
      <w:rFonts w:ascii="Tahoma" w:hAnsi="Tahoma" w:cs="Tahoma"/>
      <w:sz w:val="16"/>
      <w:szCs w:val="16"/>
    </w:rPr>
  </w:style>
  <w:style w:type="character" w:customStyle="1" w:styleId="BalloonTextChar">
    <w:name w:val="Balloon Text Char"/>
    <w:basedOn w:val="DefaultParagraphFont"/>
    <w:link w:val="BalloonText"/>
    <w:uiPriority w:val="99"/>
    <w:rsid w:val="008A5DD4"/>
    <w:rPr>
      <w:rFonts w:ascii="Tahoma" w:hAnsi="Tahoma" w:cs="Tahoma"/>
      <w:sz w:val="16"/>
      <w:szCs w:val="16"/>
      <w:lang w:val="en-AU" w:eastAsia="en-AU"/>
    </w:rPr>
  </w:style>
  <w:style w:type="character" w:styleId="Hyperlink">
    <w:name w:val="Hyperlink"/>
    <w:basedOn w:val="DefaultParagraphFont"/>
    <w:uiPriority w:val="99"/>
    <w:unhideWhenUsed/>
    <w:rsid w:val="008A5DD4"/>
    <w:rPr>
      <w:color w:val="0563C1" w:themeColor="hyperlink"/>
      <w:u w:val="single"/>
    </w:rPr>
  </w:style>
  <w:style w:type="character" w:customStyle="1" w:styleId="BodyTextChar">
    <w:name w:val="BodyText Char"/>
    <w:link w:val="BodyText"/>
    <w:rsid w:val="001A34D9"/>
    <w:rPr>
      <w:rFonts w:ascii="Arial" w:hAnsi="Arial"/>
      <w:lang w:val="en-US"/>
    </w:rPr>
  </w:style>
  <w:style w:type="paragraph" w:customStyle="1" w:styleId="AgencyName">
    <w:name w:val="AgencyName"/>
    <w:basedOn w:val="Normal"/>
    <w:link w:val="AgencyNameChar"/>
    <w:rsid w:val="008A5DD4"/>
    <w:pPr>
      <w:spacing w:after="120"/>
      <w:jc w:val="both"/>
    </w:pPr>
    <w:rPr>
      <w:color w:val="FFFFFF"/>
      <w:sz w:val="26"/>
      <w:szCs w:val="22"/>
    </w:rPr>
  </w:style>
  <w:style w:type="character" w:customStyle="1" w:styleId="AgencyNameChar">
    <w:name w:val="AgencyName Char"/>
    <w:basedOn w:val="DefaultParagraphFont"/>
    <w:link w:val="AgencyName"/>
    <w:rsid w:val="008A5DD4"/>
    <w:rPr>
      <w:rFonts w:ascii="Arial" w:hAnsi="Arial"/>
      <w:color w:val="FFFFFF"/>
      <w:sz w:val="26"/>
      <w:szCs w:val="22"/>
      <w:lang w:val="en-AU" w:eastAsia="en-AU"/>
    </w:rPr>
  </w:style>
  <w:style w:type="paragraph" w:customStyle="1" w:styleId="AgencyNameBold">
    <w:name w:val="AgencyNameBold"/>
    <w:basedOn w:val="AgencyName"/>
    <w:link w:val="AgencyNameBoldChar"/>
    <w:rsid w:val="008A5DD4"/>
    <w:rPr>
      <w:b/>
      <w:bCs/>
      <w:spacing w:val="16"/>
      <w:szCs w:val="26"/>
    </w:rPr>
  </w:style>
  <w:style w:type="character" w:customStyle="1" w:styleId="AgencyNameBoldChar">
    <w:name w:val="AgencyNameBold Char"/>
    <w:basedOn w:val="AgencyNameChar"/>
    <w:link w:val="AgencyNameBold"/>
    <w:rsid w:val="008A5DD4"/>
    <w:rPr>
      <w:rFonts w:ascii="Arial" w:hAnsi="Arial"/>
      <w:b/>
      <w:bCs/>
      <w:color w:val="FFFFFF"/>
      <w:spacing w:val="16"/>
      <w:sz w:val="26"/>
      <w:szCs w:val="26"/>
      <w:lang w:val="en-AU" w:eastAsia="en-AU"/>
    </w:rPr>
  </w:style>
  <w:style w:type="character" w:customStyle="1" w:styleId="Heading1Char">
    <w:name w:val="Heading 1 Char"/>
    <w:aliases w:val="Heading 1 Section Heading Char,n Char,1 Char,A MAJOR/BOLD Char,h1 Char,A MAJOR/BOLD1 Char,h11 Char,. (1.0) Char,alison Char,a-Heading 1 Char,h12 Char,Heading 1(Report Only) Char,1. Char,Heading A Char,SP-Section Char,Heading 1a Char"/>
    <w:basedOn w:val="DefaultParagraphFont"/>
    <w:link w:val="Heading1"/>
    <w:rsid w:val="00BD693E"/>
    <w:rPr>
      <w:rFonts w:ascii="Arial" w:eastAsiaTheme="majorEastAsia" w:hAnsi="Arial" w:cstheme="majorBidi"/>
      <w:b/>
      <w:bCs/>
      <w:caps/>
      <w:kern w:val="32"/>
      <w:sz w:val="32"/>
      <w:szCs w:val="32"/>
      <w:lang w:val="en-AU" w:eastAsia="en-AU"/>
    </w:rPr>
  </w:style>
  <w:style w:type="paragraph" w:customStyle="1" w:styleId="Appendix">
    <w:name w:val="Appendix"/>
    <w:basedOn w:val="Heading1"/>
    <w:link w:val="AppendixChar"/>
    <w:qFormat/>
    <w:rsid w:val="008A5DD4"/>
    <w:pPr>
      <w:numPr>
        <w:numId w:val="0"/>
      </w:numPr>
    </w:pPr>
    <w:rPr>
      <w:szCs w:val="26"/>
    </w:rPr>
  </w:style>
  <w:style w:type="character" w:customStyle="1" w:styleId="AppendixChar">
    <w:name w:val="Appendix Char"/>
    <w:basedOn w:val="Heading1Char"/>
    <w:link w:val="Appendix"/>
    <w:rsid w:val="008A5DD4"/>
    <w:rPr>
      <w:rFonts w:ascii="Arial" w:eastAsiaTheme="majorEastAsia" w:hAnsi="Arial" w:cstheme="majorBidi"/>
      <w:b/>
      <w:bCs/>
      <w:caps/>
      <w:kern w:val="32"/>
      <w:sz w:val="32"/>
      <w:szCs w:val="26"/>
      <w:lang w:val="en-AU" w:eastAsia="en-AU"/>
    </w:rPr>
  </w:style>
  <w:style w:type="character" w:customStyle="1" w:styleId="Heading2Char">
    <w:name w:val="Heading 2 Char"/>
    <w:basedOn w:val="DefaultParagraphFont"/>
    <w:link w:val="Heading2"/>
    <w:rsid w:val="008A5DD4"/>
    <w:rPr>
      <w:rFonts w:ascii="Arial" w:eastAsiaTheme="majorEastAsia" w:hAnsi="Arial" w:cstheme="majorBidi"/>
      <w:b/>
      <w:bCs/>
      <w:iCs/>
      <w:caps/>
      <w:color w:val="606060"/>
      <w:sz w:val="28"/>
      <w:szCs w:val="28"/>
      <w:lang w:val="en-US" w:eastAsia="en-AU"/>
    </w:rPr>
  </w:style>
  <w:style w:type="paragraph" w:customStyle="1" w:styleId="Appendix2">
    <w:name w:val="Appendix 2"/>
    <w:basedOn w:val="Heading2"/>
    <w:link w:val="Appendix2Char"/>
    <w:rsid w:val="008A5DD4"/>
    <w:pPr>
      <w:numPr>
        <w:ilvl w:val="0"/>
        <w:numId w:val="0"/>
      </w:numPr>
      <w:ind w:left="851" w:hanging="851"/>
    </w:pPr>
  </w:style>
  <w:style w:type="character" w:customStyle="1" w:styleId="Appendix2Char">
    <w:name w:val="Appendix 2 Char"/>
    <w:basedOn w:val="Heading2Char"/>
    <w:link w:val="Appendix2"/>
    <w:rsid w:val="008A5DD4"/>
    <w:rPr>
      <w:rFonts w:ascii="Arial" w:eastAsiaTheme="majorEastAsia" w:hAnsi="Arial" w:cstheme="majorBidi"/>
      <w:b/>
      <w:bCs/>
      <w:iCs/>
      <w:caps/>
      <w:color w:val="606060"/>
      <w:sz w:val="28"/>
      <w:szCs w:val="28"/>
      <w:lang w:val="en-US" w:eastAsia="en-AU"/>
    </w:rPr>
  </w:style>
  <w:style w:type="paragraph" w:styleId="BlockText">
    <w:name w:val="Block Text"/>
    <w:basedOn w:val="Normal"/>
    <w:unhideWhenUsed/>
    <w:rsid w:val="008A5DD4"/>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i/>
      <w:iCs/>
      <w:color w:val="5B9BD5" w:themeColor="accent1"/>
    </w:rPr>
  </w:style>
  <w:style w:type="paragraph" w:styleId="ListParagraph">
    <w:name w:val="List Paragraph"/>
    <w:basedOn w:val="Normal"/>
    <w:uiPriority w:val="34"/>
    <w:qFormat/>
    <w:rsid w:val="008A5DD4"/>
    <w:pPr>
      <w:ind w:left="720"/>
      <w:contextualSpacing/>
    </w:pPr>
  </w:style>
  <w:style w:type="paragraph" w:customStyle="1" w:styleId="Bullet">
    <w:name w:val="Bullet"/>
    <w:basedOn w:val="ListParagraph"/>
    <w:link w:val="BulletChar"/>
    <w:qFormat/>
    <w:rsid w:val="008A5DD4"/>
    <w:pPr>
      <w:numPr>
        <w:numId w:val="16"/>
      </w:numPr>
      <w:tabs>
        <w:tab w:val="left" w:pos="567"/>
      </w:tabs>
      <w:spacing w:after="120"/>
      <w:ind w:left="1349" w:hanging="357"/>
      <w:contextualSpacing w:val="0"/>
    </w:pPr>
  </w:style>
  <w:style w:type="character" w:customStyle="1" w:styleId="BulletChar">
    <w:name w:val="Bullet Char"/>
    <w:basedOn w:val="DefaultParagraphFont"/>
    <w:link w:val="Bullet"/>
    <w:rsid w:val="008A5DD4"/>
    <w:rPr>
      <w:rFonts w:ascii="Arial" w:hAnsi="Arial"/>
      <w:sz w:val="22"/>
      <w:lang w:val="en-AU" w:eastAsia="en-AU"/>
    </w:rPr>
  </w:style>
  <w:style w:type="character" w:styleId="CommentReference">
    <w:name w:val="annotation reference"/>
    <w:basedOn w:val="DefaultParagraphFont"/>
    <w:uiPriority w:val="99"/>
    <w:unhideWhenUsed/>
    <w:rsid w:val="008A5DD4"/>
    <w:rPr>
      <w:sz w:val="16"/>
      <w:szCs w:val="16"/>
    </w:rPr>
  </w:style>
  <w:style w:type="paragraph" w:styleId="CommentText">
    <w:name w:val="annotation text"/>
    <w:basedOn w:val="Normal"/>
    <w:link w:val="CommentTextChar"/>
    <w:uiPriority w:val="99"/>
    <w:unhideWhenUsed/>
    <w:rsid w:val="008A5DD4"/>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8A5DD4"/>
    <w:rPr>
      <w:rFonts w:ascii="Calibri" w:hAnsi="Calibri"/>
      <w:lang w:val="en-US" w:eastAsia="en-US"/>
    </w:rPr>
  </w:style>
  <w:style w:type="paragraph" w:styleId="CommentSubject">
    <w:name w:val="annotation subject"/>
    <w:basedOn w:val="CommentText"/>
    <w:next w:val="CommentText"/>
    <w:link w:val="CommentSubjectChar"/>
    <w:uiPriority w:val="99"/>
    <w:unhideWhenUsed/>
    <w:rsid w:val="008A5DD4"/>
    <w:rPr>
      <w:rFonts w:asciiTheme="minorHAnsi" w:eastAsiaTheme="minorHAnsi" w:hAnsiTheme="minorHAnsi" w:cstheme="minorBidi"/>
      <w:b/>
      <w:bCs/>
      <w:lang w:val="en-AU"/>
    </w:rPr>
  </w:style>
  <w:style w:type="character" w:customStyle="1" w:styleId="CommentSubjectChar">
    <w:name w:val="Comment Subject Char"/>
    <w:basedOn w:val="CommentTextChar"/>
    <w:link w:val="CommentSubject"/>
    <w:uiPriority w:val="99"/>
    <w:rsid w:val="008A5DD4"/>
    <w:rPr>
      <w:rFonts w:asciiTheme="minorHAnsi" w:eastAsiaTheme="minorHAnsi" w:hAnsiTheme="minorHAnsi" w:cstheme="minorBidi"/>
      <w:b/>
      <w:bCs/>
      <w:lang w:val="en-AU" w:eastAsia="en-US"/>
    </w:rPr>
  </w:style>
  <w:style w:type="paragraph" w:customStyle="1" w:styleId="ContentsTitle">
    <w:name w:val="ContentsTitle"/>
    <w:link w:val="ContentsTitleChar"/>
    <w:qFormat/>
    <w:rsid w:val="008A5DD4"/>
    <w:pPr>
      <w:spacing w:before="120" w:after="360"/>
    </w:pPr>
    <w:rPr>
      <w:rFonts w:ascii="Arial" w:eastAsiaTheme="majorEastAsia" w:hAnsi="Arial" w:cstheme="majorBidi"/>
      <w:b/>
      <w:bCs/>
      <w:kern w:val="32"/>
      <w:sz w:val="32"/>
      <w:szCs w:val="32"/>
      <w:lang w:val="en-AU" w:eastAsia="en-AU"/>
    </w:rPr>
  </w:style>
  <w:style w:type="character" w:customStyle="1" w:styleId="ContentsTitleChar">
    <w:name w:val="ContentsTitle Char"/>
    <w:basedOn w:val="DefaultParagraphFont"/>
    <w:link w:val="ContentsTitle"/>
    <w:rsid w:val="008A5DD4"/>
    <w:rPr>
      <w:rFonts w:ascii="Arial" w:eastAsiaTheme="majorEastAsia" w:hAnsi="Arial" w:cstheme="majorBidi"/>
      <w:b/>
      <w:bCs/>
      <w:kern w:val="32"/>
      <w:sz w:val="32"/>
      <w:szCs w:val="32"/>
      <w:lang w:val="en-AU" w:eastAsia="en-AU"/>
    </w:rPr>
  </w:style>
  <w:style w:type="paragraph" w:customStyle="1" w:styleId="DateVersion">
    <w:name w:val="Date &amp; Version"/>
    <w:next w:val="Normal"/>
    <w:rsid w:val="008A5DD4"/>
    <w:pPr>
      <w:spacing w:before="1400" w:after="200"/>
      <w:jc w:val="right"/>
    </w:pPr>
    <w:rPr>
      <w:rFonts w:ascii="Arial" w:hAnsi="Arial"/>
      <w:sz w:val="28"/>
      <w:lang w:val="en-AU" w:eastAsia="en-AU"/>
    </w:rPr>
  </w:style>
  <w:style w:type="paragraph" w:customStyle="1" w:styleId="DefaultParagraphFontPara3">
    <w:name w:val="Default Paragraph Font Para3"/>
    <w:basedOn w:val="Normal"/>
    <w:rsid w:val="008A5DD4"/>
    <w:pPr>
      <w:jc w:val="both"/>
    </w:pPr>
    <w:rPr>
      <w:rFonts w:ascii="Calibri" w:hAnsi="Calibri"/>
      <w:szCs w:val="22"/>
      <w:lang w:val="en-US" w:eastAsia="en-US"/>
    </w:rPr>
  </w:style>
  <w:style w:type="paragraph" w:customStyle="1" w:styleId="FactSheetText">
    <w:name w:val="Fact Sheet Text"/>
    <w:basedOn w:val="Normal"/>
    <w:link w:val="FactSheetTextChar"/>
    <w:rsid w:val="008A5DD4"/>
    <w:pPr>
      <w:spacing w:line="240" w:lineRule="atLeast"/>
    </w:pPr>
    <w:rPr>
      <w:color w:val="000000"/>
    </w:rPr>
  </w:style>
  <w:style w:type="character" w:customStyle="1" w:styleId="FactSheetTextChar">
    <w:name w:val="Fact Sheet Text Char"/>
    <w:link w:val="FactSheetText"/>
    <w:rsid w:val="008A5DD4"/>
    <w:rPr>
      <w:rFonts w:ascii="Arial" w:hAnsi="Arial"/>
      <w:color w:val="000000"/>
      <w:sz w:val="22"/>
      <w:lang w:val="en-AU" w:eastAsia="en-AU"/>
    </w:rPr>
  </w:style>
  <w:style w:type="character" w:styleId="FollowedHyperlink">
    <w:name w:val="FollowedHyperlink"/>
    <w:basedOn w:val="DefaultParagraphFont"/>
    <w:uiPriority w:val="99"/>
    <w:unhideWhenUsed/>
    <w:rsid w:val="008A5DD4"/>
    <w:rPr>
      <w:color w:val="954F72" w:themeColor="followedHyperlink"/>
      <w:u w:val="single"/>
    </w:rPr>
  </w:style>
  <w:style w:type="character" w:customStyle="1" w:styleId="FooterChar">
    <w:name w:val="Footer Char"/>
    <w:basedOn w:val="DefaultParagraphFont"/>
    <w:link w:val="Footer"/>
    <w:uiPriority w:val="99"/>
    <w:rsid w:val="008A5DD4"/>
    <w:rPr>
      <w:rFonts w:ascii="Arial" w:hAnsi="Arial" w:cs="Arial"/>
      <w:sz w:val="22"/>
      <w:szCs w:val="22"/>
      <w:lang w:val="en-AU" w:eastAsia="en-AU"/>
    </w:rPr>
  </w:style>
  <w:style w:type="character" w:styleId="FootnoteReference">
    <w:name w:val="footnote reference"/>
    <w:basedOn w:val="DefaultParagraphFont"/>
    <w:uiPriority w:val="99"/>
    <w:unhideWhenUsed/>
    <w:rsid w:val="008A5DD4"/>
    <w:rPr>
      <w:vertAlign w:val="superscript"/>
    </w:rPr>
  </w:style>
  <w:style w:type="paragraph" w:styleId="FootnoteText">
    <w:name w:val="footnote text"/>
    <w:basedOn w:val="Normal"/>
    <w:link w:val="FootnoteTextChar"/>
    <w:uiPriority w:val="99"/>
    <w:unhideWhenUsed/>
    <w:rsid w:val="008A5DD4"/>
    <w:pPr>
      <w:jc w:val="both"/>
    </w:pPr>
    <w:rPr>
      <w:rFonts w:eastAsiaTheme="minorHAnsi" w:cs="Helvetica"/>
      <w:sz w:val="20"/>
      <w:lang w:eastAsia="en-US"/>
    </w:rPr>
  </w:style>
  <w:style w:type="character" w:customStyle="1" w:styleId="FootnoteTextChar">
    <w:name w:val="Footnote Text Char"/>
    <w:basedOn w:val="DefaultParagraphFont"/>
    <w:link w:val="FootnoteText"/>
    <w:uiPriority w:val="99"/>
    <w:rsid w:val="008A5DD4"/>
    <w:rPr>
      <w:rFonts w:ascii="Arial" w:eastAsiaTheme="minorHAnsi" w:hAnsi="Arial" w:cs="Helvetica"/>
      <w:lang w:val="en-AU" w:eastAsia="en-US"/>
    </w:rPr>
  </w:style>
  <w:style w:type="paragraph" w:customStyle="1" w:styleId="FormName">
    <w:name w:val="Form Name"/>
    <w:basedOn w:val="Normal"/>
    <w:next w:val="Normal"/>
    <w:link w:val="FormNameChar"/>
    <w:rsid w:val="008A5DD4"/>
    <w:pPr>
      <w:tabs>
        <w:tab w:val="right" w:pos="9044"/>
      </w:tabs>
      <w:spacing w:after="120"/>
    </w:pPr>
    <w:rPr>
      <w:b/>
      <w:sz w:val="32"/>
      <w:szCs w:val="22"/>
    </w:rPr>
  </w:style>
  <w:style w:type="character" w:customStyle="1" w:styleId="FormNameChar">
    <w:name w:val="Form Name Char"/>
    <w:link w:val="FormName"/>
    <w:rsid w:val="008A5DD4"/>
    <w:rPr>
      <w:rFonts w:ascii="Arial" w:hAnsi="Arial"/>
      <w:b/>
      <w:sz w:val="32"/>
      <w:szCs w:val="22"/>
      <w:lang w:val="en-AU" w:eastAsia="en-AU"/>
    </w:rPr>
  </w:style>
  <w:style w:type="paragraph" w:customStyle="1" w:styleId="FormText">
    <w:name w:val="Form Text"/>
    <w:basedOn w:val="Normal"/>
    <w:rsid w:val="008A5DD4"/>
    <w:pPr>
      <w:spacing w:after="0"/>
    </w:pPr>
  </w:style>
  <w:style w:type="character" w:customStyle="1" w:styleId="HeaderChar">
    <w:name w:val="Header Char"/>
    <w:basedOn w:val="DefaultParagraphFont"/>
    <w:link w:val="Header"/>
    <w:uiPriority w:val="99"/>
    <w:rsid w:val="008A5DD4"/>
    <w:rPr>
      <w:rFonts w:ascii="Arial" w:hAnsi="Arial"/>
      <w:b/>
      <w:sz w:val="22"/>
      <w:lang w:val="en-AU" w:eastAsia="en-AU"/>
    </w:rPr>
  </w:style>
  <w:style w:type="character" w:customStyle="1" w:styleId="Heading3Char">
    <w:name w:val="Heading 3 Char"/>
    <w:basedOn w:val="DefaultParagraphFont"/>
    <w:link w:val="Heading3"/>
    <w:rsid w:val="008A5DD4"/>
    <w:rPr>
      <w:rFonts w:ascii="Arial" w:hAnsi="Arial" w:cs="Arial"/>
      <w:b/>
      <w:bCs/>
      <w:sz w:val="24"/>
      <w:szCs w:val="26"/>
      <w:lang w:val="en-US" w:eastAsia="en-AU"/>
    </w:rPr>
  </w:style>
  <w:style w:type="character" w:customStyle="1" w:styleId="Heading4Char">
    <w:name w:val="Heading 4 Char"/>
    <w:aliases w:val="h4 Char,h41 Char,H4 Char,Heading 4 Char Char Char,SP-Text Char,Heading 4 - special Char,L Char,Heading 4 Char1 Char,Heading 4 Char1 Char Char Char,Heading 4 Char Char Char Char Char,Heading 4 Char1 Char Char Char Char Char,H-4 Char,d Char"/>
    <w:basedOn w:val="DefaultParagraphFont"/>
    <w:link w:val="Heading4"/>
    <w:uiPriority w:val="9"/>
    <w:rsid w:val="008A5DD4"/>
    <w:rPr>
      <w:rFonts w:ascii="Arial" w:eastAsiaTheme="majorEastAsia" w:hAnsi="Arial" w:cstheme="majorBidi"/>
      <w:b/>
      <w:bCs/>
      <w:iCs/>
      <w:color w:val="606060"/>
      <w:sz w:val="22"/>
      <w:lang w:val="en-AU" w:eastAsia="en-AU"/>
    </w:rPr>
  </w:style>
  <w:style w:type="character" w:customStyle="1" w:styleId="Heading5Char">
    <w:name w:val="Heading 5 Char"/>
    <w:basedOn w:val="DefaultParagraphFont"/>
    <w:link w:val="Heading5"/>
    <w:uiPriority w:val="9"/>
    <w:rsid w:val="008A5DD4"/>
    <w:rPr>
      <w:rFonts w:asciiTheme="majorHAnsi" w:eastAsiaTheme="majorEastAsia" w:hAnsiTheme="majorHAnsi" w:cstheme="majorBidi"/>
      <w:color w:val="1F4D78" w:themeColor="accent1" w:themeShade="7F"/>
      <w:sz w:val="22"/>
      <w:lang w:val="en-AU" w:eastAsia="en-AU"/>
    </w:rPr>
  </w:style>
  <w:style w:type="character" w:customStyle="1" w:styleId="Heading6Char">
    <w:name w:val="Heading 6 Char"/>
    <w:aliases w:val="Spec Text Char"/>
    <w:basedOn w:val="DefaultParagraphFont"/>
    <w:link w:val="Heading6"/>
    <w:uiPriority w:val="9"/>
    <w:rsid w:val="008A5DD4"/>
    <w:rPr>
      <w:rFonts w:asciiTheme="majorHAnsi" w:eastAsiaTheme="majorEastAsia" w:hAnsiTheme="majorHAnsi" w:cstheme="majorBidi"/>
      <w:i/>
      <w:iCs/>
      <w:color w:val="1F4D78" w:themeColor="accent1" w:themeShade="7F"/>
      <w:sz w:val="22"/>
      <w:lang w:val="en-AU" w:eastAsia="en-AU"/>
    </w:rPr>
  </w:style>
  <w:style w:type="character" w:customStyle="1" w:styleId="Heading7Char">
    <w:name w:val="Heading 7 Char"/>
    <w:basedOn w:val="DefaultParagraphFont"/>
    <w:link w:val="Heading7"/>
    <w:uiPriority w:val="9"/>
    <w:rsid w:val="008A5DD4"/>
    <w:rPr>
      <w:rFonts w:asciiTheme="majorHAnsi" w:eastAsiaTheme="majorEastAsia" w:hAnsiTheme="majorHAnsi" w:cstheme="majorBidi"/>
      <w:i/>
      <w:iCs/>
      <w:color w:val="404040" w:themeColor="text1" w:themeTint="BF"/>
      <w:sz w:val="22"/>
      <w:lang w:val="en-AU" w:eastAsia="en-AU"/>
    </w:rPr>
  </w:style>
  <w:style w:type="character" w:customStyle="1" w:styleId="Heading8Char">
    <w:name w:val="Heading 8 Char"/>
    <w:basedOn w:val="DefaultParagraphFont"/>
    <w:link w:val="Heading8"/>
    <w:uiPriority w:val="9"/>
    <w:rsid w:val="008A5DD4"/>
    <w:rPr>
      <w:rFonts w:asciiTheme="majorHAnsi" w:eastAsiaTheme="majorEastAsia" w:hAnsiTheme="majorHAnsi" w:cstheme="majorBidi"/>
      <w:color w:val="404040" w:themeColor="text1" w:themeTint="BF"/>
      <w:lang w:val="en-AU" w:eastAsia="en-AU"/>
    </w:rPr>
  </w:style>
  <w:style w:type="character" w:customStyle="1" w:styleId="Heading9Char">
    <w:name w:val="Heading 9 Char"/>
    <w:basedOn w:val="DefaultParagraphFont"/>
    <w:link w:val="Heading9"/>
    <w:uiPriority w:val="9"/>
    <w:rsid w:val="008A5DD4"/>
    <w:rPr>
      <w:rFonts w:asciiTheme="majorHAnsi" w:eastAsiaTheme="majorEastAsia" w:hAnsiTheme="majorHAnsi" w:cstheme="majorBidi"/>
      <w:i/>
      <w:iCs/>
      <w:color w:val="404040" w:themeColor="text1" w:themeTint="BF"/>
      <w:lang w:val="en-AU" w:eastAsia="en-AU"/>
    </w:rPr>
  </w:style>
  <w:style w:type="paragraph" w:customStyle="1" w:styleId="HelvBullSub">
    <w:name w:val="Helv BullSub"/>
    <w:link w:val="HelvBullSubChar"/>
    <w:rsid w:val="008A5DD4"/>
    <w:pPr>
      <w:widowControl w:val="0"/>
      <w:numPr>
        <w:ilvl w:val="1"/>
        <w:numId w:val="24"/>
      </w:numPr>
      <w:overflowPunct w:val="0"/>
      <w:autoSpaceDE w:val="0"/>
      <w:autoSpaceDN w:val="0"/>
      <w:adjustRightInd w:val="0"/>
      <w:spacing w:line="213" w:lineRule="auto"/>
      <w:jc w:val="both"/>
    </w:pPr>
    <w:rPr>
      <w:rFonts w:ascii="Helvetica" w:hAnsi="Helvetica" w:cs="Helvetica"/>
      <w:sz w:val="22"/>
      <w:szCs w:val="22"/>
      <w:lang w:val="en-US" w:eastAsia="en-US"/>
    </w:rPr>
  </w:style>
  <w:style w:type="character" w:customStyle="1" w:styleId="HelvBullSubChar">
    <w:name w:val="Helv BullSub Char"/>
    <w:link w:val="HelvBullSub"/>
    <w:rsid w:val="008A5DD4"/>
    <w:rPr>
      <w:rFonts w:ascii="Helvetica" w:hAnsi="Helvetica" w:cs="Helvetica"/>
      <w:sz w:val="22"/>
      <w:szCs w:val="22"/>
      <w:lang w:val="en-US" w:eastAsia="en-US"/>
    </w:rPr>
  </w:style>
  <w:style w:type="paragraph" w:customStyle="1" w:styleId="HelvHead1">
    <w:name w:val="Helv Head 1"/>
    <w:link w:val="HelvHead1Char"/>
    <w:rsid w:val="008A5DD4"/>
    <w:pPr>
      <w:widowControl w:val="0"/>
      <w:autoSpaceDE w:val="0"/>
      <w:autoSpaceDN w:val="0"/>
      <w:adjustRightInd w:val="0"/>
      <w:spacing w:before="360" w:after="120"/>
      <w:ind w:left="6"/>
    </w:pPr>
    <w:rPr>
      <w:rFonts w:ascii="Helvetica" w:hAnsi="Helvetica" w:cs="Helvetica"/>
      <w:b/>
      <w:bCs/>
      <w:color w:val="013861"/>
      <w:sz w:val="28"/>
      <w:szCs w:val="28"/>
      <w:lang w:val="en-US" w:eastAsia="en-US"/>
    </w:rPr>
  </w:style>
  <w:style w:type="character" w:customStyle="1" w:styleId="HelvHead1Char">
    <w:name w:val="Helv Head 1 Char"/>
    <w:basedOn w:val="DefaultParagraphFont"/>
    <w:link w:val="HelvHead1"/>
    <w:rsid w:val="008A5DD4"/>
    <w:rPr>
      <w:rFonts w:ascii="Helvetica" w:hAnsi="Helvetica" w:cs="Helvetica"/>
      <w:b/>
      <w:bCs/>
      <w:color w:val="013861"/>
      <w:sz w:val="28"/>
      <w:szCs w:val="28"/>
      <w:lang w:val="en-US" w:eastAsia="en-US"/>
    </w:rPr>
  </w:style>
  <w:style w:type="paragraph" w:customStyle="1" w:styleId="HelvHead2">
    <w:name w:val="Helv Head 2"/>
    <w:link w:val="HelvHead2Char"/>
    <w:rsid w:val="008A5DD4"/>
    <w:pPr>
      <w:widowControl w:val="0"/>
      <w:autoSpaceDE w:val="0"/>
      <w:autoSpaceDN w:val="0"/>
      <w:adjustRightInd w:val="0"/>
      <w:spacing w:after="60"/>
      <w:ind w:left="6"/>
    </w:pPr>
    <w:rPr>
      <w:rFonts w:ascii="Helvetica" w:hAnsi="Helvetica" w:cs="Helvetica"/>
      <w:b/>
      <w:bCs/>
      <w:color w:val="013861"/>
      <w:sz w:val="24"/>
      <w:szCs w:val="24"/>
      <w:lang w:val="en-US" w:eastAsia="en-US"/>
    </w:rPr>
  </w:style>
  <w:style w:type="character" w:customStyle="1" w:styleId="HelvHead2Char">
    <w:name w:val="Helv Head 2 Char"/>
    <w:basedOn w:val="DefaultParagraphFont"/>
    <w:link w:val="HelvHead2"/>
    <w:rsid w:val="008A5DD4"/>
    <w:rPr>
      <w:rFonts w:ascii="Helvetica" w:hAnsi="Helvetica" w:cs="Helvetica"/>
      <w:b/>
      <w:bCs/>
      <w:color w:val="013861"/>
      <w:sz w:val="24"/>
      <w:szCs w:val="24"/>
      <w:lang w:val="en-US" w:eastAsia="en-US"/>
    </w:rPr>
  </w:style>
  <w:style w:type="paragraph" w:customStyle="1" w:styleId="HelvNorm">
    <w:name w:val="Helv Norm"/>
    <w:basedOn w:val="Normal"/>
    <w:link w:val="HelvNormChar"/>
    <w:rsid w:val="008A5DD4"/>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basedOn w:val="DefaultParagraphFont"/>
    <w:link w:val="HelvNorm"/>
    <w:rsid w:val="008A5DD4"/>
    <w:rPr>
      <w:rFonts w:ascii="Arial" w:hAnsi="Arial" w:cs="Helvetica"/>
      <w:bCs/>
      <w:sz w:val="22"/>
      <w:szCs w:val="22"/>
      <w:lang w:val="en-US" w:eastAsia="en-US"/>
    </w:rPr>
  </w:style>
  <w:style w:type="paragraph" w:styleId="NoSpacing">
    <w:name w:val="No Spacing"/>
    <w:uiPriority w:val="1"/>
    <w:qFormat/>
    <w:rsid w:val="008A5DD4"/>
    <w:rPr>
      <w:rFonts w:ascii="Arial" w:eastAsia="Calibri" w:hAnsi="Arial"/>
      <w:sz w:val="22"/>
      <w:lang w:val="en-AU" w:eastAsia="en-US"/>
    </w:rPr>
  </w:style>
  <w:style w:type="paragraph" w:styleId="NormalWeb">
    <w:name w:val="Normal (Web)"/>
    <w:basedOn w:val="Normal"/>
    <w:uiPriority w:val="99"/>
    <w:unhideWhenUsed/>
    <w:rsid w:val="008A5DD4"/>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8A5DD4"/>
    <w:pPr>
      <w:widowControl/>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8A5DD4"/>
    <w:rPr>
      <w:rFonts w:ascii="Arial" w:hAnsi="Arial"/>
      <w:lang w:val="en-AU" w:eastAsia="en-AU"/>
    </w:rPr>
  </w:style>
  <w:style w:type="paragraph" w:customStyle="1" w:styleId="NTGFooterDepartmentof">
    <w:name w:val="NTG Footer Department of"/>
    <w:link w:val="NTGFooterDepartmentofChar"/>
    <w:uiPriority w:val="7"/>
    <w:qFormat/>
    <w:rsid w:val="008A5DD4"/>
    <w:pPr>
      <w:widowControl w:val="0"/>
      <w:tabs>
        <w:tab w:val="right" w:pos="9026"/>
      </w:tabs>
    </w:pPr>
    <w:rPr>
      <w:rFonts w:ascii="Arial" w:eastAsia="Calibri" w:hAnsi="Arial" w:cs="Arial"/>
      <w:caps/>
      <w:szCs w:val="16"/>
      <w:lang w:val="en-AU" w:eastAsia="en-US"/>
    </w:rPr>
  </w:style>
  <w:style w:type="character" w:customStyle="1" w:styleId="NTGFooterDepartmentofChar">
    <w:name w:val="NTG Footer Department of Char"/>
    <w:basedOn w:val="DefaultParagraphFont"/>
    <w:link w:val="NTGFooterDepartmentof"/>
    <w:uiPriority w:val="7"/>
    <w:rsid w:val="008A5DD4"/>
    <w:rPr>
      <w:rFonts w:ascii="Arial" w:eastAsia="Calibri" w:hAnsi="Arial" w:cs="Arial"/>
      <w:caps/>
      <w:szCs w:val="16"/>
      <w:lang w:val="en-AU" w:eastAsia="en-US"/>
    </w:rPr>
  </w:style>
  <w:style w:type="paragraph" w:customStyle="1" w:styleId="Nums">
    <w:name w:val="Nums"/>
    <w:basedOn w:val="HelvNorm"/>
    <w:link w:val="NumsChar"/>
    <w:qFormat/>
    <w:rsid w:val="008A5DD4"/>
    <w:pPr>
      <w:numPr>
        <w:numId w:val="25"/>
      </w:numPr>
      <w:spacing w:before="0" w:after="200"/>
    </w:pPr>
    <w:rPr>
      <w:rFonts w:cs="Arial"/>
    </w:rPr>
  </w:style>
  <w:style w:type="character" w:customStyle="1" w:styleId="NumsChar">
    <w:name w:val="Nums Char"/>
    <w:basedOn w:val="BulletChar"/>
    <w:link w:val="Nums"/>
    <w:rsid w:val="008A5DD4"/>
    <w:rPr>
      <w:rFonts w:ascii="Arial" w:hAnsi="Arial" w:cs="Arial"/>
      <w:bCs/>
      <w:sz w:val="22"/>
      <w:szCs w:val="22"/>
      <w:lang w:val="en-US" w:eastAsia="en-US"/>
    </w:rPr>
  </w:style>
  <w:style w:type="character" w:styleId="PageNumber">
    <w:name w:val="page number"/>
    <w:basedOn w:val="DefaultParagraphFont"/>
    <w:rsid w:val="008A5DD4"/>
  </w:style>
  <w:style w:type="character" w:styleId="PlaceholderText">
    <w:name w:val="Placeholder Text"/>
    <w:basedOn w:val="DefaultParagraphFont"/>
    <w:uiPriority w:val="99"/>
    <w:semiHidden/>
    <w:rsid w:val="008A5DD4"/>
    <w:rPr>
      <w:color w:val="808080"/>
    </w:rPr>
  </w:style>
  <w:style w:type="paragraph" w:customStyle="1" w:styleId="Reporttitle">
    <w:name w:val="Report title"/>
    <w:uiPriority w:val="99"/>
    <w:rsid w:val="008A5DD4"/>
    <w:pPr>
      <w:tabs>
        <w:tab w:val="left" w:pos="2805"/>
      </w:tabs>
      <w:autoSpaceDE w:val="0"/>
      <w:autoSpaceDN w:val="0"/>
      <w:adjustRightInd w:val="0"/>
      <w:spacing w:line="700" w:lineRule="atLeast"/>
      <w:textAlignment w:val="center"/>
    </w:pPr>
    <w:rPr>
      <w:rFonts w:ascii="Lato Black" w:eastAsiaTheme="minorHAnsi" w:hAnsi="Lato Black" w:cs="Lato Black"/>
      <w:color w:val="CB6015"/>
      <w:sz w:val="66"/>
      <w:szCs w:val="66"/>
      <w:lang w:val="en-GB" w:eastAsia="en-US"/>
    </w:rPr>
  </w:style>
  <w:style w:type="numbering" w:customStyle="1" w:styleId="StyleBulletedSymbolsymbolLeft063cmHanging063cm">
    <w:name w:val="Style Bulleted Symbol (symbol) Left:  0.63 cm Hanging:  0.63 cm"/>
    <w:basedOn w:val="NoList"/>
    <w:rsid w:val="008A5DD4"/>
    <w:pPr>
      <w:numPr>
        <w:numId w:val="26"/>
      </w:numPr>
    </w:pPr>
  </w:style>
  <w:style w:type="paragraph" w:customStyle="1" w:styleId="SubTitle">
    <w:name w:val="Sub Title"/>
    <w:basedOn w:val="Normal"/>
    <w:autoRedefine/>
    <w:semiHidden/>
    <w:rsid w:val="008A5DD4"/>
    <w:pPr>
      <w:spacing w:after="160" w:line="240" w:lineRule="exact"/>
    </w:pPr>
    <w:rPr>
      <w:rFonts w:ascii="Verdana" w:hAnsi="Verdana"/>
      <w:szCs w:val="24"/>
      <w:lang w:val="en-US"/>
    </w:rPr>
  </w:style>
  <w:style w:type="paragraph" w:styleId="Subtitle0">
    <w:name w:val="Subtitle"/>
    <w:basedOn w:val="Normal"/>
    <w:next w:val="Normal"/>
    <w:link w:val="SubtitleChar"/>
    <w:uiPriority w:val="11"/>
    <w:qFormat/>
    <w:rsid w:val="008A5DD4"/>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0"/>
    <w:uiPriority w:val="11"/>
    <w:rsid w:val="008A5DD4"/>
    <w:rPr>
      <w:rFonts w:ascii="Arial" w:eastAsiaTheme="majorEastAsia" w:hAnsi="Arial" w:cstheme="majorBidi"/>
      <w:sz w:val="24"/>
      <w:szCs w:val="24"/>
      <w:lang w:val="en-AU" w:eastAsia="en-AU"/>
    </w:rPr>
  </w:style>
  <w:style w:type="table" w:styleId="TableGrid">
    <w:name w:val="Table Grid"/>
    <w:basedOn w:val="TableNormal"/>
    <w:uiPriority w:val="59"/>
    <w:rsid w:val="008A5DD4"/>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Reporttitle"/>
    <w:next w:val="Normal"/>
    <w:link w:val="TitleChar"/>
    <w:uiPriority w:val="10"/>
    <w:qFormat/>
    <w:rsid w:val="008A5DD4"/>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8A5DD4"/>
    <w:rPr>
      <w:rFonts w:ascii="Arial Black" w:eastAsiaTheme="minorHAnsi" w:hAnsi="Arial Black" w:cs="Lato Black"/>
      <w:color w:val="CB6015"/>
      <w:sz w:val="66"/>
      <w:szCs w:val="66"/>
      <w:lang w:val="en-GB" w:eastAsia="en-US"/>
    </w:rPr>
  </w:style>
  <w:style w:type="paragraph" w:styleId="TOC1">
    <w:name w:val="toc 1"/>
    <w:basedOn w:val="Normal"/>
    <w:next w:val="Normal"/>
    <w:autoRedefine/>
    <w:uiPriority w:val="39"/>
    <w:unhideWhenUsed/>
    <w:rsid w:val="008A5DD4"/>
    <w:pPr>
      <w:tabs>
        <w:tab w:val="left" w:pos="567"/>
        <w:tab w:val="right" w:leader="dot" w:pos="9061"/>
      </w:tabs>
      <w:spacing w:before="100" w:after="60"/>
      <w:ind w:left="567" w:hanging="567"/>
      <w:jc w:val="both"/>
    </w:pPr>
    <w:rPr>
      <w:rFonts w:eastAsiaTheme="minorHAnsi" w:cs="Helvetica"/>
      <w:b/>
      <w:szCs w:val="22"/>
      <w:lang w:eastAsia="en-US"/>
    </w:rPr>
  </w:style>
  <w:style w:type="paragraph" w:styleId="TOC2">
    <w:name w:val="toc 2"/>
    <w:basedOn w:val="Normal"/>
    <w:next w:val="Normal"/>
    <w:autoRedefine/>
    <w:uiPriority w:val="39"/>
    <w:unhideWhenUsed/>
    <w:rsid w:val="008A5DD4"/>
    <w:pPr>
      <w:tabs>
        <w:tab w:val="left" w:pos="1418"/>
        <w:tab w:val="right" w:leader="dot" w:pos="9061"/>
      </w:tabs>
      <w:spacing w:after="100"/>
      <w:ind w:left="1134" w:hanging="567"/>
      <w:jc w:val="both"/>
    </w:pPr>
    <w:rPr>
      <w:rFonts w:eastAsiaTheme="minorHAnsi" w:cs="Helvetica"/>
      <w:szCs w:val="22"/>
      <w:lang w:eastAsia="en-US"/>
    </w:rPr>
  </w:style>
  <w:style w:type="paragraph" w:styleId="TOC3">
    <w:name w:val="toc 3"/>
    <w:basedOn w:val="Normal"/>
    <w:next w:val="Normal"/>
    <w:autoRedefine/>
    <w:uiPriority w:val="39"/>
    <w:unhideWhenUsed/>
    <w:rsid w:val="008A5DD4"/>
    <w:pPr>
      <w:tabs>
        <w:tab w:val="left" w:pos="1985"/>
        <w:tab w:val="right" w:leader="dot" w:pos="9061"/>
      </w:tabs>
      <w:spacing w:after="100"/>
      <w:ind w:left="1985" w:hanging="851"/>
      <w:jc w:val="both"/>
    </w:pPr>
    <w:rPr>
      <w:rFonts w:eastAsiaTheme="minorHAnsi" w:cs="Helvetica"/>
      <w:szCs w:val="22"/>
      <w:lang w:eastAsia="en-US"/>
    </w:rPr>
  </w:style>
  <w:style w:type="paragraph" w:styleId="TOC4">
    <w:name w:val="toc 4"/>
    <w:basedOn w:val="Normal"/>
    <w:next w:val="Normal"/>
    <w:autoRedefine/>
    <w:uiPriority w:val="39"/>
    <w:unhideWhenUsed/>
    <w:rsid w:val="008A5DD4"/>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8A5DD4"/>
    <w:pPr>
      <w:spacing w:after="100"/>
      <w:ind w:left="880"/>
    </w:pPr>
  </w:style>
  <w:style w:type="paragraph" w:styleId="TOCHeading">
    <w:name w:val="TOC Heading"/>
    <w:basedOn w:val="Heading1"/>
    <w:next w:val="Normal"/>
    <w:uiPriority w:val="39"/>
    <w:semiHidden/>
    <w:unhideWhenUsed/>
    <w:qFormat/>
    <w:rsid w:val="008A5DD4"/>
    <w:pPr>
      <w:numPr>
        <w:numId w:val="0"/>
      </w:numPr>
      <w:tabs>
        <w:tab w:val="left" w:pos="720"/>
      </w:tabs>
      <w:spacing w:after="0"/>
      <w:outlineLvl w:val="9"/>
    </w:pPr>
    <w:rPr>
      <w:rFonts w:asciiTheme="majorHAnsi" w:hAnsiTheme="majorHAnsi"/>
      <w:lang w:val="en-US"/>
    </w:rPr>
  </w:style>
  <w:style w:type="paragraph" w:customStyle="1" w:styleId="WebAddress">
    <w:name w:val="WebAddress"/>
    <w:basedOn w:val="AgencyName"/>
    <w:rsid w:val="008A5DD4"/>
    <w:pPr>
      <w:jc w:val="right"/>
    </w:pPr>
    <w:rPr>
      <w:color w:val="auto"/>
      <w:spacing w:val="8"/>
      <w:sz w:val="28"/>
      <w:szCs w:val="28"/>
    </w:rPr>
  </w:style>
  <w:style w:type="character" w:customStyle="1" w:styleId="BodyTextChar0">
    <w:name w:val="Body Text Char"/>
    <w:aliases w:val="P Char,(Alt+1) Char,Char Char Char"/>
    <w:link w:val="BodyText0"/>
    <w:rsid w:val="007363D1"/>
    <w:rPr>
      <w:rFonts w:ascii="Arial" w:hAnsi="Arial"/>
      <w:sz w:val="22"/>
      <w:lang w:val="en-AU" w:eastAsia="en-AU"/>
    </w:rPr>
  </w:style>
  <w:style w:type="character" w:customStyle="1" w:styleId="guidenotesChar">
    <w:name w:val="guide notes Char"/>
    <w:link w:val="guidenotes"/>
    <w:rsid w:val="007363D1"/>
    <w:rPr>
      <w:rFonts w:ascii="Arial" w:hAnsi="Arial"/>
      <w:i/>
      <w:vanish/>
      <w:color w:val="00FF00"/>
      <w:spacing w:val="-2"/>
      <w:sz w:val="22"/>
      <w:lang w:val="en-US" w:eastAsia="en-AU"/>
    </w:rPr>
  </w:style>
  <w:style w:type="paragraph" w:customStyle="1" w:styleId="StyleHeading1Heading1SectionHeadingn1AMAJORBOLDh1AMAJ">
    <w:name w:val="Style Heading 1Heading 1 Section Headingn1A MAJOR/BOLDh1A MAJ..."/>
    <w:basedOn w:val="Heading1"/>
    <w:rsid w:val="007363D1"/>
    <w:pPr>
      <w:keepNext/>
      <w:widowControl/>
      <w:numPr>
        <w:numId w:val="0"/>
      </w:numPr>
      <w:tabs>
        <w:tab w:val="num" w:pos="360"/>
      </w:tabs>
      <w:ind w:left="431" w:hanging="431"/>
    </w:pPr>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4886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ucows.nt.gov.au/infrastructure/techspecs/documents/ARRB_specifications_RCG.pdf"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transport.nt.gov.au/infrastructure/technical-standards-guidelines-and-specifications/materials-testing-manual"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2667</Words>
  <Characters>15204</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10</vt:lpstr>
    </vt:vector>
  </TitlesOfParts>
  <Company>Transport and Works</Company>
  <LinksUpToDate>false</LinksUpToDate>
  <CharactersWithSpaces>17836</CharactersWithSpaces>
  <SharedDoc>false</SharedDoc>
  <HLinks>
    <vt:vector size="6" baseType="variant">
      <vt:variant>
        <vt:i4>7733372</vt:i4>
      </vt:variant>
      <vt:variant>
        <vt:i4>0</vt:i4>
      </vt:variant>
      <vt:variant>
        <vt:i4>0</vt:i4>
      </vt:variant>
      <vt:variant>
        <vt:i4>5</vt:i4>
      </vt:variant>
      <vt:variant>
        <vt:lpwstr>https://infrastructure.nt.gov.au/specification-services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dc:title>
  <dc:subject/>
  <dc:creator>e9f</dc:creator>
  <cp:keywords/>
  <cp:lastModifiedBy>Robert Haakmeester</cp:lastModifiedBy>
  <cp:revision>2</cp:revision>
  <cp:lastPrinted>2019-10-31T06:34:00Z</cp:lastPrinted>
  <dcterms:created xsi:type="dcterms:W3CDTF">2019-10-31T06:35:00Z</dcterms:created>
  <dcterms:modified xsi:type="dcterms:W3CDTF">2019-10-31T06:35:00Z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e_ActiveDocsURL">
    <vt:lpwstr>http://dciswtdmp01-uat.cprod.corp.ntgov/activedocsdev</vt:lpwstr>
  </property>
  <property fmtid="{D5CDD505-2E9C-101B-9397-08002B2CF9AE}" pid="3" name="ade_DocumentID">
    <vt:lpwstr>36F69CD38108409F89D081DF7FF433D3</vt:lpwstr>
  </property>
  <property fmtid="{D5CDD505-2E9C-101B-9397-08002B2CF9AE}" pid="4" name="ade_ContentType">
    <vt:lpwstr>2</vt:lpwstr>
  </property>
</Properties>
</file>