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57CB" w:rsidRDefault="009D57CB">
      <w:pPr>
        <w:pStyle w:val="Heading1"/>
      </w:pPr>
      <w:r w:rsidRPr="0047139A">
        <w:t>Miscellaneous Concrete Works</w:t>
      </w:r>
    </w:p>
    <w:p w:rsidR="00DE2AA2" w:rsidRPr="00DE2AA2" w:rsidRDefault="00D91AE1" w:rsidP="005F0C05">
      <w:r>
        <w:t xml:space="preserve">DIPL Roadworks Master </w:t>
      </w:r>
      <w:r w:rsidR="00977DD0">
        <w:t>–</w:t>
      </w:r>
      <w:r>
        <w:t xml:space="preserve"> </w:t>
      </w:r>
      <w:r w:rsidR="0058015C">
        <w:t>March</w:t>
      </w:r>
      <w:bookmarkStart w:id="0" w:name="_GoBack"/>
      <w:bookmarkEnd w:id="0"/>
      <w:r w:rsidR="0058015C">
        <w:t xml:space="preserve"> 2022</w:t>
      </w:r>
    </w:p>
    <w:p w:rsidR="009D57CB" w:rsidRPr="0047139A" w:rsidRDefault="009D57CB">
      <w:pPr>
        <w:pStyle w:val="Heading2"/>
        <w:rPr>
          <w:lang w:val="en-AU"/>
        </w:rPr>
      </w:pPr>
      <w:bookmarkStart w:id="1" w:name="_Toc390823676"/>
      <w:bookmarkStart w:id="2" w:name="_Toc391429368"/>
      <w:bookmarkStart w:id="3" w:name="_Toc396035046"/>
      <w:bookmarkStart w:id="4" w:name="_Toc398800437"/>
      <w:r w:rsidRPr="0047139A">
        <w:rPr>
          <w:lang w:val="en-AU"/>
        </w:rPr>
        <w:t>Standards</w:t>
      </w:r>
      <w:bookmarkEnd w:id="1"/>
      <w:bookmarkEnd w:id="2"/>
      <w:bookmarkEnd w:id="3"/>
      <w:bookmarkEnd w:id="4"/>
      <w:r w:rsidR="00F5456A">
        <w:t xml:space="preserve"> and Publications</w:t>
      </w:r>
    </w:p>
    <w:p w:rsidR="009D57CB" w:rsidRPr="0047139A" w:rsidRDefault="009D57CB" w:rsidP="00866F1C">
      <w:r w:rsidRPr="0047139A">
        <w:t>Conform to the following Standards and Publication unless specified otherwise:</w:t>
      </w:r>
    </w:p>
    <w:p w:rsidR="00F843F5" w:rsidRPr="00E314BC" w:rsidRDefault="00F843F5" w:rsidP="00F843F5">
      <w:r w:rsidRPr="00E314BC">
        <w:t>AS 1012(set)</w:t>
      </w:r>
      <w:r w:rsidRPr="00E314BC">
        <w:tab/>
        <w:t>Methods of testing concrete</w:t>
      </w:r>
    </w:p>
    <w:p w:rsidR="00F843F5" w:rsidRPr="0047139A" w:rsidRDefault="00F843F5" w:rsidP="00F843F5">
      <w:r w:rsidRPr="00E314BC">
        <w:t>AS 1141(set)</w:t>
      </w:r>
      <w:r w:rsidRPr="00E314BC">
        <w:tab/>
        <w:t>Methods for sampling and testing aggregates</w:t>
      </w:r>
    </w:p>
    <w:p w:rsidR="00F843F5" w:rsidRPr="0047139A" w:rsidRDefault="00F843F5" w:rsidP="00F843F5">
      <w:r>
        <w:t xml:space="preserve">AS </w:t>
      </w:r>
      <w:r w:rsidRPr="0047139A">
        <w:t>1289</w:t>
      </w:r>
      <w:r>
        <w:t>(set)</w:t>
      </w:r>
      <w:r w:rsidRPr="0047139A">
        <w:tab/>
        <w:t>Methods of</w:t>
      </w:r>
      <w:r>
        <w:t xml:space="preserve"> testing soils for engineering purposes</w:t>
      </w:r>
    </w:p>
    <w:p w:rsidR="00F843F5" w:rsidRPr="00AF3BE2" w:rsidRDefault="00F843F5" w:rsidP="00F843F5">
      <w:r>
        <w:t xml:space="preserve">AS </w:t>
      </w:r>
      <w:r w:rsidRPr="00AF3BE2">
        <w:t>1379</w:t>
      </w:r>
      <w:r w:rsidRPr="00AF3BE2">
        <w:tab/>
      </w:r>
      <w:proofErr w:type="gramStart"/>
      <w:r w:rsidRPr="00AF3BE2">
        <w:t>The</w:t>
      </w:r>
      <w:proofErr w:type="gramEnd"/>
      <w:r w:rsidRPr="00AF3BE2">
        <w:t xml:space="preserve"> specification and manufacture of c</w:t>
      </w:r>
      <w:r>
        <w:t>oncrete</w:t>
      </w:r>
    </w:p>
    <w:p w:rsidR="00F843F5" w:rsidRPr="00AF3BE2" w:rsidRDefault="00F843F5" w:rsidP="00F843F5">
      <w:r>
        <w:t xml:space="preserve">AS </w:t>
      </w:r>
      <w:r w:rsidRPr="00AF3BE2">
        <w:t>1478</w:t>
      </w:r>
      <w:r>
        <w:t>.1</w:t>
      </w:r>
      <w:r w:rsidRPr="00AF3BE2">
        <w:tab/>
        <w:t>Chemical admixtures for c</w:t>
      </w:r>
      <w:r>
        <w:t>oncrete, mortar and grout – Admixtures for concrete</w:t>
      </w:r>
    </w:p>
    <w:p w:rsidR="00F843F5" w:rsidRPr="0047139A" w:rsidRDefault="00F843F5" w:rsidP="00F843F5">
      <w:r>
        <w:t xml:space="preserve">AS/NZS </w:t>
      </w:r>
      <w:r w:rsidRPr="00AF3BE2">
        <w:t>23</w:t>
      </w:r>
      <w:r>
        <w:t>50.0</w:t>
      </w:r>
      <w:r w:rsidRPr="00AF3BE2">
        <w:tab/>
        <w:t>Method</w:t>
      </w:r>
      <w:r>
        <w:t>s</w:t>
      </w:r>
      <w:r w:rsidRPr="00AF3BE2">
        <w:t xml:space="preserve"> of sampling </w:t>
      </w:r>
      <w:proofErr w:type="gramStart"/>
      <w:r w:rsidRPr="00AF3BE2">
        <w:t>portland</w:t>
      </w:r>
      <w:proofErr w:type="gramEnd"/>
      <w:r w:rsidRPr="00AF3BE2">
        <w:t xml:space="preserve"> and blended</w:t>
      </w:r>
      <w:r>
        <w:t xml:space="preserve"> cements – General introduction and list of methods</w:t>
      </w:r>
    </w:p>
    <w:p w:rsidR="00F843F5" w:rsidRPr="0047139A" w:rsidRDefault="00F843F5" w:rsidP="00F843F5">
      <w:r>
        <w:t>AS/NZS 2350.1</w:t>
      </w:r>
      <w:r>
        <w:tab/>
      </w:r>
      <w:r w:rsidRPr="00AF3BE2">
        <w:t>Method</w:t>
      </w:r>
      <w:r>
        <w:t xml:space="preserve">s of sampling </w:t>
      </w:r>
      <w:proofErr w:type="gramStart"/>
      <w:r>
        <w:t>portland</w:t>
      </w:r>
      <w:proofErr w:type="gramEnd"/>
      <w:r>
        <w:t>,</w:t>
      </w:r>
      <w:r w:rsidRPr="00AF3BE2">
        <w:t xml:space="preserve"> blended</w:t>
      </w:r>
      <w:r>
        <w:t xml:space="preserve"> and masonry cements</w:t>
      </w:r>
      <w:r w:rsidDel="00974CC9">
        <w:t xml:space="preserve"> </w:t>
      </w:r>
      <w:r>
        <w:t>- Sampling</w:t>
      </w:r>
    </w:p>
    <w:p w:rsidR="00F843F5" w:rsidRPr="0047139A" w:rsidRDefault="00F843F5" w:rsidP="00F843F5">
      <w:r>
        <w:t>AS 2758.1</w:t>
      </w:r>
      <w:r>
        <w:tab/>
        <w:t>Aggregates and rock for engineering purposes - Concrete a</w:t>
      </w:r>
      <w:r w:rsidRPr="0047139A">
        <w:t>ggregates</w:t>
      </w:r>
    </w:p>
    <w:p w:rsidR="00F843F5" w:rsidRPr="0047139A" w:rsidRDefault="00F843F5" w:rsidP="00F843F5">
      <w:r>
        <w:t>AS 2876</w:t>
      </w:r>
      <w:r>
        <w:tab/>
        <w:t>Concrete kerbs and c</w:t>
      </w:r>
      <w:r w:rsidRPr="0047139A">
        <w:t>hannels (</w:t>
      </w:r>
      <w:r>
        <w:t>gutters) - Manually or machine placed</w:t>
      </w:r>
    </w:p>
    <w:p w:rsidR="00F843F5" w:rsidRPr="0047139A" w:rsidRDefault="00F843F5" w:rsidP="00F843F5">
      <w:r>
        <w:t>AS 3600</w:t>
      </w:r>
      <w:r>
        <w:tab/>
        <w:t>Concrete structures</w:t>
      </w:r>
    </w:p>
    <w:p w:rsidR="00F843F5" w:rsidRPr="0047139A" w:rsidRDefault="00F843F5" w:rsidP="00F843F5">
      <w:r>
        <w:t>AS 3610.1</w:t>
      </w:r>
      <w:r>
        <w:tab/>
        <w:t>Formwork for concrete - Specifications</w:t>
      </w:r>
    </w:p>
    <w:p w:rsidR="00F843F5" w:rsidRPr="0047139A" w:rsidRDefault="00F843F5" w:rsidP="00F843F5">
      <w:r>
        <w:t xml:space="preserve">AS </w:t>
      </w:r>
      <w:r w:rsidRPr="0047139A">
        <w:t>3972</w:t>
      </w:r>
      <w:r w:rsidRPr="0047139A">
        <w:tab/>
      </w:r>
      <w:r>
        <w:t>General purpose and blended cements</w:t>
      </w:r>
    </w:p>
    <w:p w:rsidR="00F843F5" w:rsidRPr="0047139A" w:rsidRDefault="00F843F5" w:rsidP="00F843F5">
      <w:r>
        <w:t>AS/NZS 4671</w:t>
      </w:r>
      <w:r>
        <w:tab/>
        <w:t>Steel reinforcing m</w:t>
      </w:r>
      <w:r w:rsidRPr="0047139A">
        <w:t>aterials</w:t>
      </w:r>
    </w:p>
    <w:p w:rsidR="00F843F5" w:rsidRPr="0047139A" w:rsidRDefault="00F843F5" w:rsidP="00F843F5">
      <w:pPr>
        <w:pStyle w:val="ASList"/>
      </w:pPr>
    </w:p>
    <w:p w:rsidR="00F843F5" w:rsidRDefault="00F843F5" w:rsidP="00F843F5">
      <w:r>
        <w:t>NTMTM</w:t>
      </w:r>
      <w:r>
        <w:tab/>
        <w:t xml:space="preserve">NT Materials Testing Manual accessible via </w:t>
      </w:r>
      <w:hyperlink r:id="rId8" w:history="1">
        <w:r w:rsidRPr="006447AE">
          <w:rPr>
            <w:rStyle w:val="Hyperlink"/>
          </w:rPr>
          <w:t>https://transport.nt.gov.au/infrastructure/technical-standards-guidelines-and-specifications/materials-testing-manual</w:t>
        </w:r>
      </w:hyperlink>
    </w:p>
    <w:p w:rsidR="00F843F5" w:rsidRPr="0047139A" w:rsidRDefault="00F843F5" w:rsidP="00F843F5">
      <w:r>
        <w:t>NTTM</w:t>
      </w:r>
      <w:r>
        <w:tab/>
      </w:r>
      <w:r>
        <w:tab/>
        <w:t>NT Test Methods</w:t>
      </w:r>
    </w:p>
    <w:p w:rsidR="009D57CB" w:rsidRPr="0047139A" w:rsidRDefault="009D57CB">
      <w:pPr>
        <w:pStyle w:val="Heading2"/>
        <w:rPr>
          <w:lang w:val="en-AU"/>
        </w:rPr>
      </w:pPr>
      <w:bookmarkStart w:id="5" w:name="_Toc390823677"/>
      <w:bookmarkStart w:id="6" w:name="_Toc391429369"/>
      <w:bookmarkStart w:id="7" w:name="_Toc396035047"/>
      <w:bookmarkStart w:id="8" w:name="_Toc398800438"/>
      <w:r w:rsidRPr="0047139A">
        <w:rPr>
          <w:lang w:val="en-AU"/>
        </w:rPr>
        <w:t>General</w:t>
      </w:r>
      <w:bookmarkEnd w:id="5"/>
      <w:bookmarkEnd w:id="6"/>
      <w:bookmarkEnd w:id="7"/>
      <w:bookmarkEnd w:id="8"/>
    </w:p>
    <w:p w:rsidR="00F843F5" w:rsidRPr="0060073E" w:rsidRDefault="00CB5B9F">
      <w:pPr>
        <w:rPr>
          <w:lang w:val="en-US"/>
        </w:rPr>
      </w:pPr>
      <w:r w:rsidRPr="00241E26">
        <w:t>This section specifies miscellaneous minor concrete works and does not apply to buildings</w:t>
      </w:r>
      <w:r w:rsidR="00F843F5" w:rsidRPr="00292847">
        <w:t>,</w:t>
      </w:r>
      <w:r w:rsidR="009D57CB" w:rsidRPr="00292847">
        <w:t xml:space="preserve"> </w:t>
      </w:r>
      <w:r w:rsidRPr="00241E26">
        <w:t>pavements, or bridges.</w:t>
      </w:r>
    </w:p>
    <w:p w:rsidR="009D57CB" w:rsidRPr="0047139A" w:rsidRDefault="009D57CB">
      <w:pPr>
        <w:pStyle w:val="Heading2"/>
        <w:rPr>
          <w:lang w:val="en-AU"/>
        </w:rPr>
      </w:pPr>
      <w:bookmarkStart w:id="9" w:name="_Toc390823678"/>
      <w:bookmarkStart w:id="10" w:name="_Toc391429370"/>
      <w:bookmarkStart w:id="11" w:name="_Toc396035048"/>
      <w:bookmarkStart w:id="12" w:name="_Toc398800439"/>
      <w:r w:rsidRPr="0047139A">
        <w:rPr>
          <w:lang w:val="en-AU"/>
        </w:rPr>
        <w:t>Materials</w:t>
      </w:r>
      <w:bookmarkEnd w:id="9"/>
      <w:bookmarkEnd w:id="10"/>
      <w:bookmarkEnd w:id="11"/>
      <w:bookmarkEnd w:id="12"/>
    </w:p>
    <w:p w:rsidR="009D57CB" w:rsidRPr="0047139A" w:rsidRDefault="009D57CB" w:rsidP="00866F1C">
      <w:r w:rsidRPr="0047139A">
        <w:t>Provide manufacturer's test certificates for quality of cement, aggregate and reinforcement.</w:t>
      </w:r>
    </w:p>
    <w:p w:rsidR="009D57CB" w:rsidRPr="0047139A" w:rsidRDefault="009D57CB">
      <w:pPr>
        <w:pStyle w:val="Heading3"/>
        <w:rPr>
          <w:lang w:val="en-AU"/>
        </w:rPr>
      </w:pPr>
      <w:bookmarkStart w:id="13" w:name="_Toc390823679"/>
      <w:bookmarkStart w:id="14" w:name="_Toc391429371"/>
      <w:bookmarkStart w:id="15" w:name="_Toc396035049"/>
      <w:bookmarkStart w:id="16" w:name="_Toc398800440"/>
      <w:r w:rsidRPr="0047139A">
        <w:rPr>
          <w:lang w:val="en-AU"/>
        </w:rPr>
        <w:t>Cement</w:t>
      </w:r>
      <w:bookmarkEnd w:id="13"/>
      <w:bookmarkEnd w:id="14"/>
      <w:bookmarkEnd w:id="15"/>
      <w:bookmarkEnd w:id="16"/>
    </w:p>
    <w:p w:rsidR="009D57CB" w:rsidRPr="0047139A" w:rsidRDefault="00367D33" w:rsidP="00866F1C">
      <w:r>
        <w:t>Type GP or GB to AS</w:t>
      </w:r>
      <w:r w:rsidR="00D91AE1">
        <w:t> </w:t>
      </w:r>
      <w:r w:rsidR="009D57CB" w:rsidRPr="0047139A">
        <w:t>3972.</w:t>
      </w:r>
    </w:p>
    <w:p w:rsidR="009D57CB" w:rsidRPr="0047139A" w:rsidRDefault="009D57CB" w:rsidP="00866F1C">
      <w:r w:rsidRPr="0047139A">
        <w:t>Store cement in watertight containers or shelters until used.</w:t>
      </w:r>
    </w:p>
    <w:p w:rsidR="009D57CB" w:rsidRPr="0047139A" w:rsidRDefault="009D57CB" w:rsidP="00866F1C">
      <w:r w:rsidRPr="0047139A">
        <w:lastRenderedPageBreak/>
        <w:t>Do not mix or store special cement with normal Portland cement.</w:t>
      </w:r>
    </w:p>
    <w:p w:rsidR="009D57CB" w:rsidRPr="0047139A" w:rsidRDefault="009D57CB">
      <w:pPr>
        <w:pStyle w:val="Heading3"/>
        <w:rPr>
          <w:lang w:val="en-AU"/>
        </w:rPr>
      </w:pPr>
      <w:bookmarkStart w:id="17" w:name="_Toc390823680"/>
      <w:bookmarkStart w:id="18" w:name="_Toc391429372"/>
      <w:bookmarkStart w:id="19" w:name="_Toc396035050"/>
      <w:bookmarkStart w:id="20" w:name="_Toc398800441"/>
      <w:r w:rsidRPr="0047139A">
        <w:rPr>
          <w:lang w:val="en-AU"/>
        </w:rPr>
        <w:t>Fine Aggregate</w:t>
      </w:r>
      <w:bookmarkEnd w:id="17"/>
      <w:bookmarkEnd w:id="18"/>
      <w:bookmarkEnd w:id="19"/>
      <w:bookmarkEnd w:id="20"/>
    </w:p>
    <w:p w:rsidR="009D57CB" w:rsidRPr="0047139A" w:rsidRDefault="009D57CB" w:rsidP="00866F1C">
      <w:r w:rsidRPr="0047139A">
        <w:t>Clean, hard, tough, durable, uncoated grains, homogeneous in quality, free from clay, dirt and organic material.</w:t>
      </w:r>
    </w:p>
    <w:p w:rsidR="009D57CB" w:rsidRPr="0047139A" w:rsidRDefault="009D57CB">
      <w:pPr>
        <w:pStyle w:val="Heading3"/>
        <w:rPr>
          <w:lang w:val="en-AU"/>
        </w:rPr>
      </w:pPr>
      <w:bookmarkStart w:id="21" w:name="_Toc390823681"/>
      <w:bookmarkStart w:id="22" w:name="_Toc391429373"/>
      <w:bookmarkStart w:id="23" w:name="_Toc396035051"/>
      <w:bookmarkStart w:id="24" w:name="_Toc398800442"/>
      <w:r w:rsidRPr="0047139A">
        <w:rPr>
          <w:lang w:val="en-AU"/>
        </w:rPr>
        <w:t>Coarse Aggregate</w:t>
      </w:r>
      <w:bookmarkEnd w:id="21"/>
      <w:bookmarkEnd w:id="22"/>
      <w:bookmarkEnd w:id="23"/>
      <w:bookmarkEnd w:id="24"/>
    </w:p>
    <w:p w:rsidR="009D57CB" w:rsidRPr="0047139A" w:rsidRDefault="009D57CB" w:rsidP="00866F1C">
      <w:r w:rsidRPr="0047139A">
        <w:t>Clean, hard, durable, crushed stone or gravel, free from clay, dirt and organic material.</w:t>
      </w:r>
    </w:p>
    <w:p w:rsidR="009D57CB" w:rsidRPr="0047139A" w:rsidRDefault="009D57CB">
      <w:pPr>
        <w:pStyle w:val="Heading3"/>
        <w:rPr>
          <w:lang w:val="en-AU"/>
        </w:rPr>
      </w:pPr>
      <w:bookmarkStart w:id="25" w:name="_Toc390823682"/>
      <w:bookmarkStart w:id="26" w:name="_Toc391429374"/>
      <w:bookmarkStart w:id="27" w:name="_Toc396035052"/>
      <w:bookmarkStart w:id="28" w:name="_Toc398800443"/>
      <w:r w:rsidRPr="0047139A">
        <w:rPr>
          <w:lang w:val="en-AU"/>
        </w:rPr>
        <w:t>Water</w:t>
      </w:r>
      <w:bookmarkEnd w:id="25"/>
      <w:bookmarkEnd w:id="26"/>
      <w:bookmarkEnd w:id="27"/>
      <w:bookmarkEnd w:id="28"/>
    </w:p>
    <w:p w:rsidR="009D57CB" w:rsidRPr="0047139A" w:rsidRDefault="009D57CB" w:rsidP="00866F1C">
      <w:r w:rsidRPr="0047139A">
        <w:t>Clean and free from oil, alkali, organic or other deleterious substances.</w:t>
      </w:r>
    </w:p>
    <w:p w:rsidR="00B7742B" w:rsidRPr="00AF3BE2" w:rsidRDefault="00942687">
      <w:pPr>
        <w:pStyle w:val="Heading3"/>
        <w:rPr>
          <w:lang w:val="en-AU"/>
        </w:rPr>
      </w:pPr>
      <w:bookmarkStart w:id="29" w:name="_Toc390823683"/>
      <w:bookmarkStart w:id="30" w:name="_Toc391429375"/>
      <w:bookmarkStart w:id="31" w:name="_Toc396035053"/>
      <w:bookmarkStart w:id="32" w:name="_Toc398800444"/>
      <w:r w:rsidRPr="00AF3BE2">
        <w:rPr>
          <w:lang w:val="en-AU"/>
        </w:rPr>
        <w:t xml:space="preserve">Chemical </w:t>
      </w:r>
      <w:r w:rsidR="00B7742B" w:rsidRPr="00AF3BE2">
        <w:rPr>
          <w:lang w:val="en-AU"/>
        </w:rPr>
        <w:t>Admixtures</w:t>
      </w:r>
      <w:r w:rsidR="00D509BC">
        <w:rPr>
          <w:lang w:val="en-AU"/>
        </w:rPr>
        <w:t xml:space="preserve"> - Hold Point</w:t>
      </w:r>
    </w:p>
    <w:p w:rsidR="00B7742B" w:rsidRPr="00AF3BE2" w:rsidRDefault="00D509BC" w:rsidP="00B7742B">
      <w:r w:rsidRPr="00D34FBE">
        <w:rPr>
          <w:b/>
        </w:rPr>
        <w:t>Hold Point</w:t>
      </w:r>
      <w:r w:rsidRPr="00866F1C">
        <w:t xml:space="preserve"> - </w:t>
      </w:r>
      <w:r w:rsidR="00B7742B" w:rsidRPr="00AF3BE2">
        <w:t xml:space="preserve">Do not use admixtures without obtaining prior written approval from the Superintendent. </w:t>
      </w:r>
    </w:p>
    <w:p w:rsidR="00B7742B" w:rsidRPr="00AF3BE2" w:rsidRDefault="00901B22" w:rsidP="00B7742B">
      <w:r w:rsidRPr="00AF3BE2">
        <w:t>Admixtures a</w:t>
      </w:r>
      <w:r w:rsidR="00D509BC">
        <w:t>nd their use must conform to AS </w:t>
      </w:r>
      <w:r w:rsidRPr="00AF3BE2">
        <w:t xml:space="preserve">1478.1. </w:t>
      </w:r>
    </w:p>
    <w:p w:rsidR="00B7742B" w:rsidRPr="00AF3BE2" w:rsidRDefault="00DC30B0" w:rsidP="00B7742B">
      <w:r w:rsidRPr="00AF3BE2">
        <w:t xml:space="preserve">Where two or more chemical admixtures are proposed for incorporation into a concrete mix, their compatibility </w:t>
      </w:r>
      <w:r w:rsidR="0049597E" w:rsidRPr="00AF3BE2">
        <w:t>must be certified by</w:t>
      </w:r>
      <w:r w:rsidRPr="00AF3BE2">
        <w:t xml:space="preserve"> the manufacturers. </w:t>
      </w:r>
    </w:p>
    <w:p w:rsidR="00B7742B" w:rsidRPr="00AF3BE2" w:rsidRDefault="00B7742B" w:rsidP="00B7742B">
      <w:r w:rsidRPr="00AF3BE2">
        <w:t xml:space="preserve">Store admixtures in accordance with the manufacturer’s </w:t>
      </w:r>
      <w:r w:rsidR="001C00FF" w:rsidRPr="00AF3BE2">
        <w:t>recommendations</w:t>
      </w:r>
      <w:r w:rsidRPr="00AF3BE2">
        <w:t>.</w:t>
      </w:r>
    </w:p>
    <w:p w:rsidR="009D57CB" w:rsidRPr="0047139A" w:rsidRDefault="009D57CB">
      <w:pPr>
        <w:pStyle w:val="Heading3"/>
        <w:rPr>
          <w:lang w:val="en-AU"/>
        </w:rPr>
      </w:pPr>
      <w:r w:rsidRPr="0047139A">
        <w:rPr>
          <w:lang w:val="en-AU"/>
        </w:rPr>
        <w:t xml:space="preserve">Reinforcement </w:t>
      </w:r>
      <w:r w:rsidR="00A20292">
        <w:rPr>
          <w:lang w:val="en-AU"/>
        </w:rPr>
        <w:t>–</w:t>
      </w:r>
      <w:r w:rsidRPr="0047139A">
        <w:rPr>
          <w:lang w:val="en-AU"/>
        </w:rPr>
        <w:t xml:space="preserve"> </w:t>
      </w:r>
      <w:bookmarkEnd w:id="29"/>
      <w:bookmarkEnd w:id="30"/>
      <w:bookmarkEnd w:id="31"/>
      <w:bookmarkEnd w:id="32"/>
      <w:r w:rsidR="00D509BC">
        <w:rPr>
          <w:lang w:val="en-AU"/>
        </w:rPr>
        <w:t>Hold</w:t>
      </w:r>
      <w:r w:rsidR="00A20292">
        <w:rPr>
          <w:lang w:val="en-AU"/>
        </w:rPr>
        <w:t xml:space="preserve"> Point</w:t>
      </w:r>
    </w:p>
    <w:p w:rsidR="009D57CB" w:rsidRPr="0047139A" w:rsidRDefault="009D57CB">
      <w:r w:rsidRPr="0047139A">
        <w:t>S</w:t>
      </w:r>
      <w:r w:rsidR="00D509BC" w:rsidRPr="0047139A">
        <w:t>tandard</w:t>
      </w:r>
      <w:r w:rsidR="00D509BC">
        <w:t>: To AS/NZS </w:t>
      </w:r>
      <w:r w:rsidRPr="0047139A">
        <w:t>4671</w:t>
      </w:r>
    </w:p>
    <w:p w:rsidR="009D57CB" w:rsidRPr="0047139A" w:rsidRDefault="009D57CB" w:rsidP="00866F1C">
      <w:r w:rsidRPr="0047139A">
        <w:t>Supply, cut, bend and fix steel reinforcement as specified.</w:t>
      </w:r>
    </w:p>
    <w:p w:rsidR="009D57CB" w:rsidRPr="0047139A" w:rsidRDefault="009D57CB" w:rsidP="00866F1C">
      <w:r w:rsidRPr="0047139A">
        <w:t xml:space="preserve">Secure reinforcement and bar </w:t>
      </w:r>
      <w:r w:rsidR="009070E7">
        <w:t xml:space="preserve">or mesh reinforcement </w:t>
      </w:r>
      <w:r w:rsidRPr="0047139A">
        <w:t>supports to prevent displacement during construction and concrete placement.</w:t>
      </w:r>
      <w:r w:rsidR="009070E7">
        <w:t xml:space="preserve"> Use plastic reinforcement supports.</w:t>
      </w:r>
    </w:p>
    <w:p w:rsidR="009D57CB" w:rsidRDefault="00D509BC" w:rsidP="00866F1C">
      <w:r w:rsidRPr="00866F1C">
        <w:rPr>
          <w:b/>
        </w:rPr>
        <w:t>Hold P</w:t>
      </w:r>
      <w:r w:rsidR="00A20292" w:rsidRPr="00866F1C">
        <w:rPr>
          <w:b/>
        </w:rPr>
        <w:t>oint</w:t>
      </w:r>
      <w:r w:rsidR="009D57CB" w:rsidRPr="00866F1C">
        <w:rPr>
          <w:b/>
        </w:rPr>
        <w:t xml:space="preserve"> -</w:t>
      </w:r>
      <w:r w:rsidR="009D57CB" w:rsidRPr="0047139A">
        <w:t xml:space="preserve"> Do not place concrete until the reinforcement has been inspected by the Superintendent.</w:t>
      </w:r>
    </w:p>
    <w:p w:rsidR="00AA2613" w:rsidRPr="0047139A" w:rsidRDefault="00AA2613" w:rsidP="00AA2613">
      <w:pPr>
        <w:pStyle w:val="Heading3"/>
        <w:rPr>
          <w:lang w:val="en-AU"/>
        </w:rPr>
      </w:pPr>
      <w:r>
        <w:rPr>
          <w:lang w:val="en-AU"/>
        </w:rPr>
        <w:t>Recycled Crushed Glass (RCG)</w:t>
      </w:r>
    </w:p>
    <w:p w:rsidR="00AA2613" w:rsidRDefault="00AA2613" w:rsidP="00866F1C">
      <w:r w:rsidRPr="00BA42DF">
        <w:t>Clean, hard, durable RCG free from clay, dirt and organic material.  Source the material from glass food and beverage containers, drinking glasses, and window (or flat) glass and plain ceramic. Do not use glass from hazardous waste containers, reinforced and laminated glass, light bulbs, fluorescent tubes and cathode ray tubes. The source glass must be free of debris and contaminants such as paper and cardboard, plastic, fabrics, residues from original contents and toxins.</w:t>
      </w:r>
    </w:p>
    <w:p w:rsidR="0012697F" w:rsidRDefault="00230585" w:rsidP="0012697F">
      <w:r w:rsidRPr="00866F1C">
        <w:t>Use RCG conforming to Specifications for Recycled Crushed Glass as an Engineering Material Section 9</w:t>
      </w:r>
      <w:r w:rsidR="007E38A3" w:rsidRPr="00866F1C">
        <w:t xml:space="preserve"> available via</w:t>
      </w:r>
      <w:r>
        <w:rPr>
          <w:color w:val="000000"/>
        </w:rPr>
        <w:t xml:space="preserve"> </w:t>
      </w:r>
      <w:hyperlink r:id="rId9" w:history="1">
        <w:r w:rsidR="0012697F" w:rsidRPr="0058015C">
          <w:rPr>
            <w:color w:val="0070C0"/>
            <w:u w:val="single"/>
          </w:rPr>
          <w:t>http://tucows.nt.gov.au/infrastructure/techspecs/documents/ARRB_specifications_RCG.pdf</w:t>
        </w:r>
      </w:hyperlink>
      <w:r w:rsidR="009070E7">
        <w:t xml:space="preserve"> </w:t>
      </w:r>
    </w:p>
    <w:p w:rsidR="00977DD0" w:rsidRPr="00977DD0" w:rsidRDefault="00977DD0" w:rsidP="0058015C">
      <w:pPr>
        <w:pStyle w:val="Heading3"/>
        <w:keepNext/>
      </w:pPr>
      <w:r w:rsidRPr="00977DD0">
        <w:lastRenderedPageBreak/>
        <w:t>Under Path Growth Inhibitor</w:t>
      </w:r>
    </w:p>
    <w:p w:rsidR="00230585" w:rsidRPr="007E38A3" w:rsidRDefault="00977DD0" w:rsidP="007E38A3">
      <w:r>
        <w:rPr>
          <w:rFonts w:cs="Arial"/>
        </w:rPr>
        <w:t>For pedestrian, cycle, and shared paths, w</w:t>
      </w:r>
      <w:r w:rsidRPr="00741A68">
        <w:rPr>
          <w:rFonts w:cs="Arial"/>
        </w:rPr>
        <w:t>here subgrade is above existing natural surface a layer of under path growth inhibitor (UPGI) is to be poured on to the exposed natural surface and be spread, by raking, at a rate of 2.5 kg/m</w:t>
      </w:r>
      <w:r w:rsidRPr="00741A68">
        <w:rPr>
          <w:rFonts w:cs="Arial"/>
          <w:vertAlign w:val="superscript"/>
        </w:rPr>
        <w:t>2</w:t>
      </w:r>
      <w:r w:rsidRPr="00741A68">
        <w:rPr>
          <w:rFonts w:cs="Arial"/>
        </w:rPr>
        <w:t>.</w:t>
      </w:r>
    </w:p>
    <w:p w:rsidR="009D57CB" w:rsidRPr="0047139A" w:rsidRDefault="009D57CB">
      <w:pPr>
        <w:pStyle w:val="Heading2"/>
        <w:rPr>
          <w:lang w:val="en-AU"/>
        </w:rPr>
      </w:pPr>
      <w:bookmarkStart w:id="33" w:name="_Toc390823684"/>
      <w:bookmarkStart w:id="34" w:name="_Toc391429376"/>
      <w:bookmarkStart w:id="35" w:name="_Toc396035054"/>
      <w:bookmarkStart w:id="36" w:name="_Toc398800445"/>
      <w:r w:rsidRPr="0047139A">
        <w:rPr>
          <w:lang w:val="en-AU"/>
        </w:rPr>
        <w:t>Concrete</w:t>
      </w:r>
      <w:bookmarkEnd w:id="33"/>
      <w:bookmarkEnd w:id="34"/>
      <w:bookmarkEnd w:id="35"/>
      <w:bookmarkEnd w:id="36"/>
    </w:p>
    <w:p w:rsidR="00D34FBE" w:rsidRPr="00B948FD" w:rsidRDefault="00D34FBE" w:rsidP="00D34FBE">
      <w:bookmarkStart w:id="37" w:name="_Toc390823685"/>
      <w:bookmarkStart w:id="38" w:name="_Toc391429377"/>
      <w:bookmarkStart w:id="39" w:name="_Toc396035055"/>
      <w:bookmarkStart w:id="40" w:name="_Toc398800446"/>
      <w:r>
        <w:t>Refer to CONFORMANCE TESTING for sampling frequencies for fresh concrete.</w:t>
      </w:r>
    </w:p>
    <w:p w:rsidR="009D57CB" w:rsidRPr="0047139A" w:rsidRDefault="009D57CB">
      <w:pPr>
        <w:pStyle w:val="Heading3"/>
        <w:rPr>
          <w:lang w:val="en-AU"/>
        </w:rPr>
      </w:pPr>
      <w:r w:rsidRPr="0047139A">
        <w:rPr>
          <w:lang w:val="en-AU"/>
        </w:rPr>
        <w:t>Ready</w:t>
      </w:r>
      <w:r w:rsidRPr="0047139A">
        <w:rPr>
          <w:lang w:val="en-AU"/>
        </w:rPr>
        <w:noBreakHyphen/>
        <w:t>mix Concrete</w:t>
      </w:r>
      <w:bookmarkEnd w:id="37"/>
      <w:bookmarkEnd w:id="38"/>
      <w:bookmarkEnd w:id="39"/>
      <w:bookmarkEnd w:id="40"/>
    </w:p>
    <w:p w:rsidR="009D57CB" w:rsidRPr="0047139A" w:rsidRDefault="009D57CB" w:rsidP="00866F1C">
      <w:r w:rsidRPr="0047139A">
        <w:t>Unless otherwise specified, Production Assessment in accordance with AS</w:t>
      </w:r>
      <w:r w:rsidR="00D509BC">
        <w:t> </w:t>
      </w:r>
      <w:r w:rsidRPr="0047139A">
        <w:t>3600 shall be used.</w:t>
      </w:r>
    </w:p>
    <w:p w:rsidR="009D57CB" w:rsidRPr="0047139A" w:rsidRDefault="009D57CB">
      <w:pPr>
        <w:pStyle w:val="guidenotes"/>
        <w:rPr>
          <w:lang w:val="en-AU"/>
        </w:rPr>
      </w:pPr>
      <w:r w:rsidRPr="0047139A">
        <w:rPr>
          <w:lang w:val="en-AU"/>
        </w:rPr>
        <w:t>[Change to Project Assessment for special-class concrete or where more significant structures involved]</w:t>
      </w:r>
    </w:p>
    <w:p w:rsidR="009D57CB" w:rsidRPr="0047139A" w:rsidRDefault="009D57CB" w:rsidP="00866F1C">
      <w:r w:rsidRPr="0047139A">
        <w:t>Register the project with the concrete supplier for submittal of Production Assessment data and nominate the Superintendent for receipt of this information.</w:t>
      </w:r>
    </w:p>
    <w:p w:rsidR="009D57CB" w:rsidRPr="0047139A" w:rsidRDefault="009D57CB">
      <w:pPr>
        <w:pStyle w:val="guidenotes"/>
        <w:rPr>
          <w:lang w:val="en-AU"/>
        </w:rPr>
      </w:pPr>
      <w:r w:rsidRPr="0047139A">
        <w:rPr>
          <w:lang w:val="en-AU"/>
        </w:rPr>
        <w:t>[Delete where Project Assessment used]</w:t>
      </w:r>
    </w:p>
    <w:p w:rsidR="009D57CB" w:rsidRDefault="009D57CB" w:rsidP="00866F1C">
      <w:pPr>
        <w:tabs>
          <w:tab w:val="left" w:pos="3402"/>
        </w:tabs>
      </w:pPr>
      <w:r w:rsidRPr="0047139A">
        <w:t>Supply concrete with the following properties unless specified otherwise:</w:t>
      </w:r>
    </w:p>
    <w:tbl>
      <w:tblPr>
        <w:tblStyle w:val="TableGrid"/>
        <w:tblW w:w="9595" w:type="dxa"/>
        <w:tblLook w:val="04A0" w:firstRow="1" w:lastRow="0" w:firstColumn="1" w:lastColumn="0" w:noHBand="0" w:noVBand="1"/>
      </w:tblPr>
      <w:tblGrid>
        <w:gridCol w:w="5538"/>
        <w:gridCol w:w="4057"/>
      </w:tblGrid>
      <w:tr w:rsidR="00A95C38" w:rsidTr="0060073E">
        <w:trPr>
          <w:trHeight w:val="373"/>
        </w:trPr>
        <w:tc>
          <w:tcPr>
            <w:tcW w:w="9595" w:type="dxa"/>
            <w:gridSpan w:val="2"/>
            <w:vAlign w:val="center"/>
          </w:tcPr>
          <w:p w:rsidR="00A95C38" w:rsidRPr="0060073E" w:rsidRDefault="00A95C38" w:rsidP="0060073E">
            <w:pPr>
              <w:tabs>
                <w:tab w:val="left" w:pos="3402"/>
              </w:tabs>
              <w:spacing w:after="0"/>
              <w:rPr>
                <w:b/>
              </w:rPr>
            </w:pPr>
            <w:r>
              <w:rPr>
                <w:b/>
              </w:rPr>
              <w:t>Table – Concrete properties</w:t>
            </w:r>
          </w:p>
        </w:tc>
      </w:tr>
      <w:tr w:rsidR="00A95C38" w:rsidTr="0060073E">
        <w:trPr>
          <w:trHeight w:val="397"/>
        </w:trPr>
        <w:tc>
          <w:tcPr>
            <w:tcW w:w="5538" w:type="dxa"/>
            <w:vAlign w:val="center"/>
          </w:tcPr>
          <w:p w:rsidR="00A95C38" w:rsidRPr="0060073E" w:rsidRDefault="00A95C38" w:rsidP="00A95C38">
            <w:pPr>
              <w:tabs>
                <w:tab w:val="left" w:pos="3402"/>
              </w:tabs>
              <w:spacing w:after="0"/>
              <w:rPr>
                <w:b/>
              </w:rPr>
            </w:pPr>
            <w:r w:rsidRPr="0060073E">
              <w:rPr>
                <w:b/>
              </w:rPr>
              <w:t>Property</w:t>
            </w:r>
          </w:p>
        </w:tc>
        <w:tc>
          <w:tcPr>
            <w:tcW w:w="4056" w:type="dxa"/>
            <w:vAlign w:val="center"/>
          </w:tcPr>
          <w:p w:rsidR="00A95C38" w:rsidRPr="0060073E" w:rsidRDefault="00A95C38" w:rsidP="0060073E">
            <w:pPr>
              <w:tabs>
                <w:tab w:val="left" w:pos="3402"/>
              </w:tabs>
              <w:spacing w:after="0"/>
              <w:jc w:val="center"/>
              <w:rPr>
                <w:b/>
              </w:rPr>
            </w:pPr>
            <w:r w:rsidRPr="0060073E">
              <w:rPr>
                <w:b/>
              </w:rPr>
              <w:t>Required measure</w:t>
            </w:r>
          </w:p>
        </w:tc>
      </w:tr>
      <w:tr w:rsidR="00A95C38" w:rsidTr="0060073E">
        <w:trPr>
          <w:trHeight w:val="373"/>
        </w:trPr>
        <w:tc>
          <w:tcPr>
            <w:tcW w:w="5538" w:type="dxa"/>
            <w:vAlign w:val="center"/>
          </w:tcPr>
          <w:p w:rsidR="00A95C38" w:rsidRDefault="00A95C38" w:rsidP="0060073E">
            <w:pPr>
              <w:tabs>
                <w:tab w:val="left" w:pos="3402"/>
              </w:tabs>
              <w:spacing w:after="0"/>
            </w:pPr>
            <w:r w:rsidRPr="0047139A">
              <w:t>Compressive strength</w:t>
            </w:r>
          </w:p>
        </w:tc>
        <w:tc>
          <w:tcPr>
            <w:tcW w:w="4056" w:type="dxa"/>
            <w:vAlign w:val="center"/>
          </w:tcPr>
          <w:p w:rsidR="00A95C38" w:rsidRDefault="00A95C38" w:rsidP="0060073E">
            <w:pPr>
              <w:tabs>
                <w:tab w:val="left" w:pos="3402"/>
              </w:tabs>
              <w:spacing w:after="0"/>
              <w:jc w:val="center"/>
            </w:pPr>
            <w:r w:rsidRPr="0047139A">
              <w:t>N25</w:t>
            </w:r>
          </w:p>
        </w:tc>
      </w:tr>
      <w:tr w:rsidR="00A95C38" w:rsidTr="0060073E">
        <w:trPr>
          <w:trHeight w:val="397"/>
        </w:trPr>
        <w:tc>
          <w:tcPr>
            <w:tcW w:w="5538" w:type="dxa"/>
            <w:vAlign w:val="center"/>
          </w:tcPr>
          <w:p w:rsidR="00A95C38" w:rsidRDefault="00A95C38" w:rsidP="0060073E">
            <w:pPr>
              <w:tabs>
                <w:tab w:val="left" w:pos="3402"/>
              </w:tabs>
              <w:spacing w:after="0"/>
            </w:pPr>
            <w:r w:rsidRPr="0047139A">
              <w:t>Aggregate size</w:t>
            </w:r>
            <w:r>
              <w:t>, generally</w:t>
            </w:r>
          </w:p>
        </w:tc>
        <w:tc>
          <w:tcPr>
            <w:tcW w:w="4056" w:type="dxa"/>
            <w:vAlign w:val="center"/>
          </w:tcPr>
          <w:p w:rsidR="00A95C38" w:rsidRDefault="00A95C38" w:rsidP="0060073E">
            <w:pPr>
              <w:tabs>
                <w:tab w:val="left" w:pos="3402"/>
              </w:tabs>
              <w:spacing w:after="0"/>
              <w:jc w:val="center"/>
            </w:pPr>
            <w:r w:rsidRPr="0047139A">
              <w:t>20 mm</w:t>
            </w:r>
          </w:p>
        </w:tc>
      </w:tr>
      <w:tr w:rsidR="00A95C38" w:rsidTr="0060073E">
        <w:trPr>
          <w:trHeight w:val="373"/>
        </w:trPr>
        <w:tc>
          <w:tcPr>
            <w:tcW w:w="5538" w:type="dxa"/>
            <w:vAlign w:val="center"/>
          </w:tcPr>
          <w:p w:rsidR="00A95C38" w:rsidRDefault="00A95C38" w:rsidP="0060073E">
            <w:pPr>
              <w:tabs>
                <w:tab w:val="left" w:pos="3402"/>
              </w:tabs>
              <w:spacing w:after="0"/>
            </w:pPr>
            <w:r w:rsidRPr="0047139A">
              <w:t>Aggregate size</w:t>
            </w:r>
            <w:r>
              <w:t>, machine extruded kerbs and gutters</w:t>
            </w:r>
          </w:p>
        </w:tc>
        <w:tc>
          <w:tcPr>
            <w:tcW w:w="4056" w:type="dxa"/>
            <w:vAlign w:val="center"/>
          </w:tcPr>
          <w:p w:rsidR="00A95C38" w:rsidRDefault="00A95C38" w:rsidP="0060073E">
            <w:pPr>
              <w:tabs>
                <w:tab w:val="left" w:pos="3402"/>
              </w:tabs>
              <w:spacing w:after="0"/>
              <w:jc w:val="center"/>
            </w:pPr>
            <w:r>
              <w:t>10 mm</w:t>
            </w:r>
          </w:p>
        </w:tc>
      </w:tr>
      <w:tr w:rsidR="00A95C38" w:rsidTr="0060073E">
        <w:trPr>
          <w:trHeight w:val="397"/>
        </w:trPr>
        <w:tc>
          <w:tcPr>
            <w:tcW w:w="5538" w:type="dxa"/>
            <w:vAlign w:val="center"/>
          </w:tcPr>
          <w:p w:rsidR="00A95C38" w:rsidRDefault="00A95C38" w:rsidP="0060073E">
            <w:pPr>
              <w:tabs>
                <w:tab w:val="left" w:pos="3402"/>
              </w:tabs>
              <w:spacing w:after="0"/>
            </w:pPr>
            <w:r w:rsidRPr="0047139A">
              <w:t>Slump</w:t>
            </w:r>
            <w:r>
              <w:t>, generally</w:t>
            </w:r>
          </w:p>
        </w:tc>
        <w:tc>
          <w:tcPr>
            <w:tcW w:w="4056" w:type="dxa"/>
            <w:vAlign w:val="center"/>
          </w:tcPr>
          <w:p w:rsidR="00A95C38" w:rsidRDefault="00A95C38" w:rsidP="0060073E">
            <w:pPr>
              <w:tabs>
                <w:tab w:val="left" w:pos="3402"/>
              </w:tabs>
              <w:spacing w:after="0"/>
              <w:jc w:val="center"/>
            </w:pPr>
            <w:r w:rsidRPr="0047139A">
              <w:t>80 mm, + or - 15 mm</w:t>
            </w:r>
          </w:p>
        </w:tc>
      </w:tr>
      <w:tr w:rsidR="00A95C38" w:rsidTr="0060073E">
        <w:trPr>
          <w:trHeight w:val="397"/>
        </w:trPr>
        <w:tc>
          <w:tcPr>
            <w:tcW w:w="5538" w:type="dxa"/>
            <w:vAlign w:val="center"/>
          </w:tcPr>
          <w:p w:rsidR="00A95C38" w:rsidRDefault="00A95C38" w:rsidP="0060073E">
            <w:pPr>
              <w:tabs>
                <w:tab w:val="left" w:pos="3402"/>
              </w:tabs>
              <w:spacing w:after="0"/>
            </w:pPr>
            <w:r w:rsidRPr="0047139A">
              <w:t>Slump</w:t>
            </w:r>
            <w:r>
              <w:t>, machine extruded kerbs and gutters</w:t>
            </w:r>
          </w:p>
        </w:tc>
        <w:tc>
          <w:tcPr>
            <w:tcW w:w="4056" w:type="dxa"/>
            <w:vAlign w:val="center"/>
          </w:tcPr>
          <w:p w:rsidR="00A95C38" w:rsidRDefault="00D92466" w:rsidP="0060073E">
            <w:pPr>
              <w:tabs>
                <w:tab w:val="left" w:pos="3402"/>
              </w:tabs>
              <w:spacing w:after="0"/>
              <w:jc w:val="center"/>
            </w:pPr>
            <w:r>
              <w:t>40 mm</w:t>
            </w:r>
          </w:p>
        </w:tc>
      </w:tr>
    </w:tbl>
    <w:p w:rsidR="00A95C38" w:rsidRPr="0047139A" w:rsidRDefault="00A95C38" w:rsidP="00866F1C">
      <w:pPr>
        <w:tabs>
          <w:tab w:val="left" w:pos="3402"/>
        </w:tabs>
      </w:pPr>
    </w:p>
    <w:p w:rsidR="00BA15D7" w:rsidRPr="0047139A" w:rsidRDefault="00D92466" w:rsidP="00BA15D7">
      <w:pPr>
        <w:pStyle w:val="guidenotes"/>
        <w:rPr>
          <w:lang w:val="en-AU"/>
        </w:rPr>
      </w:pPr>
      <w:r w:rsidRPr="0047139A" w:rsidDel="00A95C38">
        <w:t xml:space="preserve"> </w:t>
      </w:r>
      <w:r w:rsidR="00BA15D7" w:rsidRPr="0047139A">
        <w:rPr>
          <w:lang w:val="en-AU"/>
        </w:rPr>
        <w:t>[</w:t>
      </w:r>
      <w:r w:rsidR="00BA15D7">
        <w:rPr>
          <w:lang w:val="en-AU"/>
        </w:rPr>
        <w:t>Amend default values above if required for project</w:t>
      </w:r>
      <w:r w:rsidR="00BA15D7" w:rsidRPr="0047139A">
        <w:rPr>
          <w:lang w:val="en-AU"/>
        </w:rPr>
        <w:t>]</w:t>
      </w:r>
    </w:p>
    <w:p w:rsidR="009D57CB" w:rsidRPr="0047139A" w:rsidRDefault="009D57CB" w:rsidP="00866F1C">
      <w:r w:rsidRPr="0047139A">
        <w:t>Conduct slump test</w:t>
      </w:r>
      <w:r w:rsidR="00292847">
        <w:t>ing</w:t>
      </w:r>
      <w:r w:rsidRPr="0047139A">
        <w:t xml:space="preserve"> on site for each and every truck.</w:t>
      </w:r>
    </w:p>
    <w:p w:rsidR="009D57CB" w:rsidRPr="0047139A" w:rsidRDefault="009D57CB">
      <w:pPr>
        <w:pStyle w:val="Heading3"/>
        <w:rPr>
          <w:lang w:val="en-AU"/>
        </w:rPr>
      </w:pPr>
      <w:bookmarkStart w:id="41" w:name="_Toc390823686"/>
      <w:bookmarkStart w:id="42" w:name="_Toc391429378"/>
      <w:bookmarkStart w:id="43" w:name="_Toc396035056"/>
      <w:bookmarkStart w:id="44" w:name="_Toc398800447"/>
      <w:r w:rsidRPr="0047139A">
        <w:rPr>
          <w:lang w:val="en-AU"/>
        </w:rPr>
        <w:t>Job</w:t>
      </w:r>
      <w:r w:rsidRPr="0047139A">
        <w:rPr>
          <w:lang w:val="en-AU"/>
        </w:rPr>
        <w:noBreakHyphen/>
        <w:t>mixed Concrete</w:t>
      </w:r>
      <w:bookmarkEnd w:id="41"/>
      <w:bookmarkEnd w:id="42"/>
      <w:bookmarkEnd w:id="43"/>
      <w:bookmarkEnd w:id="44"/>
    </w:p>
    <w:p w:rsidR="009D57CB" w:rsidRPr="0047139A" w:rsidRDefault="009D57CB" w:rsidP="00866F1C">
      <w:r w:rsidRPr="0047139A">
        <w:t>Use Project A</w:t>
      </w:r>
      <w:r w:rsidR="00D509BC">
        <w:t>ssessment in accordance with AS </w:t>
      </w:r>
      <w:r w:rsidRPr="0047139A">
        <w:t>3600.</w:t>
      </w:r>
    </w:p>
    <w:p w:rsidR="009D57CB" w:rsidRPr="0047139A" w:rsidRDefault="009D57CB" w:rsidP="00866F1C">
      <w:r w:rsidRPr="0047139A">
        <w:t>The Contractor will be respon</w:t>
      </w:r>
      <w:r w:rsidR="00712F59">
        <w:t>sible for sampling and testing.</w:t>
      </w:r>
    </w:p>
    <w:p w:rsidR="009D57CB" w:rsidRPr="0047139A" w:rsidRDefault="009D57CB" w:rsidP="00866F1C">
      <w:r w:rsidRPr="0047139A">
        <w:t>Provide Project Assessment reports that encompass the period of concrete works.</w:t>
      </w:r>
    </w:p>
    <w:p w:rsidR="009D57CB" w:rsidRPr="0047139A" w:rsidRDefault="009D57CB">
      <w:pPr>
        <w:pStyle w:val="guidenotes"/>
        <w:rPr>
          <w:lang w:val="en-AU"/>
        </w:rPr>
      </w:pPr>
      <w:r w:rsidRPr="0047139A">
        <w:rPr>
          <w:lang w:val="en-AU"/>
        </w:rPr>
        <w:t>[Delete where insignificant structures and volumes and/or remote locations are involved]</w:t>
      </w:r>
    </w:p>
    <w:p w:rsidR="009D57CB" w:rsidRPr="0047139A" w:rsidRDefault="009D57CB" w:rsidP="00866F1C">
      <w:r w:rsidRPr="0047139A">
        <w:t>Provide concrete with properties as specified for ready</w:t>
      </w:r>
      <w:r w:rsidRPr="0047139A">
        <w:noBreakHyphen/>
        <w:t>mix concrete.</w:t>
      </w:r>
    </w:p>
    <w:p w:rsidR="009D57CB" w:rsidRPr="0047139A" w:rsidRDefault="009D57CB" w:rsidP="00866F1C">
      <w:r w:rsidRPr="0047139A">
        <w:t>Determine the quantities of materials to be used by mass or by equivalent dry loose volume.</w:t>
      </w:r>
    </w:p>
    <w:p w:rsidR="009D57CB" w:rsidRDefault="009D57CB" w:rsidP="00866F1C">
      <w:r w:rsidRPr="0047139A">
        <w:t>Provide and maintain gauges for measurement of the materials.</w:t>
      </w:r>
    </w:p>
    <w:p w:rsidR="00620616" w:rsidRDefault="00620616" w:rsidP="00620616">
      <w:pPr>
        <w:pStyle w:val="Heading3"/>
        <w:rPr>
          <w:lang w:val="en-AU"/>
        </w:rPr>
      </w:pPr>
      <w:r>
        <w:rPr>
          <w:lang w:val="en-AU"/>
        </w:rPr>
        <w:lastRenderedPageBreak/>
        <w:t>Addition of Admixtures</w:t>
      </w:r>
    </w:p>
    <w:p w:rsidR="00343353" w:rsidRPr="0009387B" w:rsidRDefault="00343353" w:rsidP="00866F1C">
      <w:r w:rsidRPr="00AF3BE2">
        <w:t xml:space="preserve">Refer </w:t>
      </w:r>
      <w:r w:rsidR="00872500" w:rsidRPr="00AF3BE2">
        <w:t xml:space="preserve">to </w:t>
      </w:r>
      <w:r w:rsidR="0009387B">
        <w:t>the</w:t>
      </w:r>
      <w:r w:rsidRPr="00AF3BE2">
        <w:t xml:space="preserve"> </w:t>
      </w:r>
      <w:r w:rsidR="00942687" w:rsidRPr="00866F1C">
        <w:rPr>
          <w:b/>
        </w:rPr>
        <w:t xml:space="preserve">Chemical </w:t>
      </w:r>
      <w:r w:rsidRPr="00866F1C">
        <w:rPr>
          <w:b/>
        </w:rPr>
        <w:t>Admixtures</w:t>
      </w:r>
      <w:r w:rsidR="0009387B">
        <w:t xml:space="preserve"> clause in this worksection.</w:t>
      </w:r>
    </w:p>
    <w:p w:rsidR="00C07376" w:rsidRPr="00AF3BE2" w:rsidRDefault="00C07376" w:rsidP="00866F1C">
      <w:r w:rsidRPr="00AF3BE2">
        <w:t>Chemical admixture</w:t>
      </w:r>
      <w:r w:rsidR="0035372D" w:rsidRPr="00AF3BE2">
        <w:t>s may only be added subsequent to</w:t>
      </w:r>
      <w:r w:rsidRPr="00AF3BE2">
        <w:t xml:space="preserve"> slump test compliance confirmation. A further slump test post admixture addition may also be required.</w:t>
      </w:r>
    </w:p>
    <w:p w:rsidR="00343353" w:rsidRPr="00AF3BE2" w:rsidRDefault="00972112" w:rsidP="00866F1C">
      <w:r w:rsidRPr="00AF3BE2">
        <w:t>W</w:t>
      </w:r>
      <w:r w:rsidR="00C07376" w:rsidRPr="00AF3BE2">
        <w:t>h</w:t>
      </w:r>
      <w:r w:rsidR="0035372D" w:rsidRPr="00AF3BE2">
        <w:t>ere S</w:t>
      </w:r>
      <w:r w:rsidRPr="00AF3BE2">
        <w:t xml:space="preserve">uperintendent approval has been granted for the addition of superplasticisers at the plant prior to dispatch of concrete, a slump test of each batch </w:t>
      </w:r>
      <w:r w:rsidR="00A83DAE" w:rsidRPr="00AF3BE2">
        <w:t xml:space="preserve">must </w:t>
      </w:r>
      <w:r w:rsidRPr="00AF3BE2">
        <w:t xml:space="preserve">be performed and recorded by a NATA </w:t>
      </w:r>
      <w:r w:rsidR="001E3F9A" w:rsidRPr="00AF3BE2">
        <w:t>accredited testing laboratory</w:t>
      </w:r>
      <w:r w:rsidRPr="00AF3BE2">
        <w:t xml:space="preserve"> prior to the addition of the sup</w:t>
      </w:r>
      <w:r w:rsidR="00C07376" w:rsidRPr="00AF3BE2">
        <w:t>erplasticiser.  The slump test</w:t>
      </w:r>
      <w:r w:rsidRPr="00AF3BE2">
        <w:t xml:space="preserve"> report shall record the time of the addition of the superplasticiser, amount of superplasticiser added and product identification.</w:t>
      </w:r>
    </w:p>
    <w:p w:rsidR="00343353" w:rsidRPr="00AF3BE2" w:rsidRDefault="00EE5A76" w:rsidP="00866F1C">
      <w:r w:rsidRPr="00AF3BE2">
        <w:t xml:space="preserve">Do not add chemical admixtures </w:t>
      </w:r>
      <w:r w:rsidR="00343353" w:rsidRPr="00AF3BE2">
        <w:t>unless the exact amount</w:t>
      </w:r>
      <w:r w:rsidRPr="00AF3BE2">
        <w:t xml:space="preserve"> required</w:t>
      </w:r>
      <w:r w:rsidR="001C00FF" w:rsidRPr="00AF3BE2">
        <w:t xml:space="preserve"> is </w:t>
      </w:r>
      <w:r w:rsidR="00343353" w:rsidRPr="00AF3BE2">
        <w:t xml:space="preserve">measured using a </w:t>
      </w:r>
      <w:r w:rsidR="001C00FF" w:rsidRPr="00AF3BE2">
        <w:t xml:space="preserve">regularly maintained and calibrated </w:t>
      </w:r>
      <w:r w:rsidR="00343353" w:rsidRPr="00AF3BE2">
        <w:t xml:space="preserve">device of </w:t>
      </w:r>
      <w:r w:rsidR="00A83DAE" w:rsidRPr="00AF3BE2">
        <w:t>the required</w:t>
      </w:r>
      <w:r w:rsidRPr="00AF3BE2">
        <w:t xml:space="preserve"> </w:t>
      </w:r>
      <w:r w:rsidR="001C00FF" w:rsidRPr="00AF3BE2">
        <w:t>accuracy.</w:t>
      </w:r>
    </w:p>
    <w:p w:rsidR="00FA0E21" w:rsidRPr="00AF3BE2" w:rsidRDefault="0057190C" w:rsidP="00866F1C">
      <w:r w:rsidRPr="00AF3BE2">
        <w:t>Make allowance for the reversion time of superp</w:t>
      </w:r>
      <w:r w:rsidR="00B46F88" w:rsidRPr="00AF3BE2">
        <w:t xml:space="preserve">lasticisers. </w:t>
      </w:r>
      <w:r w:rsidR="00FA0E21" w:rsidRPr="00AF3BE2">
        <w:t>Delay the addition of superplasticisers as long as practicable before the concrete is discharged from the mixer.</w:t>
      </w:r>
    </w:p>
    <w:p w:rsidR="00C16C44" w:rsidRPr="00AF3BE2" w:rsidRDefault="00553F74" w:rsidP="00866F1C">
      <w:r w:rsidRPr="00AF3BE2">
        <w:t>Agitate concrete for at least 5</w:t>
      </w:r>
      <w:r w:rsidR="00C16C44" w:rsidRPr="00AF3BE2">
        <w:t xml:space="preserve"> minutes </w:t>
      </w:r>
      <w:r w:rsidR="007B33E4" w:rsidRPr="00AF3BE2">
        <w:t>following the addition of superplasticiser before</w:t>
      </w:r>
      <w:r w:rsidR="00C16C44" w:rsidRPr="00AF3BE2">
        <w:t xml:space="preserve"> dispens</w:t>
      </w:r>
      <w:r w:rsidR="00A83DAE" w:rsidRPr="00AF3BE2">
        <w:t>ing</w:t>
      </w:r>
      <w:r w:rsidR="00C16C44" w:rsidRPr="00AF3BE2">
        <w:t xml:space="preserve">. </w:t>
      </w:r>
    </w:p>
    <w:p w:rsidR="009D57CB" w:rsidRPr="0047139A" w:rsidRDefault="009D57CB">
      <w:pPr>
        <w:pStyle w:val="Heading2"/>
        <w:rPr>
          <w:lang w:val="en-AU"/>
        </w:rPr>
      </w:pPr>
      <w:bookmarkStart w:id="45" w:name="_Toc390823687"/>
      <w:bookmarkStart w:id="46" w:name="_Toc391429379"/>
      <w:bookmarkStart w:id="47" w:name="_Toc396035057"/>
      <w:bookmarkStart w:id="48" w:name="_Toc398800448"/>
      <w:r w:rsidRPr="0047139A">
        <w:rPr>
          <w:lang w:val="en-AU"/>
        </w:rPr>
        <w:t>Foundations</w:t>
      </w:r>
      <w:bookmarkEnd w:id="45"/>
      <w:bookmarkEnd w:id="46"/>
      <w:bookmarkEnd w:id="47"/>
      <w:bookmarkEnd w:id="48"/>
    </w:p>
    <w:p w:rsidR="009D57CB" w:rsidRPr="0047139A" w:rsidRDefault="009D57CB" w:rsidP="00866F1C">
      <w:r w:rsidRPr="0047139A">
        <w:t>Provide a foundation compacted to 90% relative density within 150 mm of the base of concrete.</w:t>
      </w:r>
    </w:p>
    <w:p w:rsidR="009D57CB" w:rsidRPr="0047139A" w:rsidRDefault="009D57CB">
      <w:pPr>
        <w:pStyle w:val="Heading2"/>
        <w:rPr>
          <w:lang w:val="en-AU"/>
        </w:rPr>
      </w:pPr>
      <w:bookmarkStart w:id="49" w:name="_Toc390823688"/>
      <w:bookmarkStart w:id="50" w:name="_Toc391429380"/>
      <w:bookmarkStart w:id="51" w:name="_Toc396035058"/>
      <w:bookmarkStart w:id="52" w:name="_Toc398800449"/>
      <w:r w:rsidRPr="0047139A">
        <w:rPr>
          <w:lang w:val="en-AU"/>
        </w:rPr>
        <w:t>Construction</w:t>
      </w:r>
      <w:bookmarkEnd w:id="49"/>
      <w:bookmarkEnd w:id="50"/>
      <w:bookmarkEnd w:id="51"/>
      <w:bookmarkEnd w:id="52"/>
    </w:p>
    <w:p w:rsidR="009D57CB" w:rsidRPr="0047139A" w:rsidRDefault="009D57CB">
      <w:pPr>
        <w:pStyle w:val="Heading3"/>
        <w:rPr>
          <w:lang w:val="en-AU"/>
        </w:rPr>
      </w:pPr>
      <w:bookmarkStart w:id="53" w:name="_Toc390823689"/>
      <w:bookmarkStart w:id="54" w:name="_Toc391429381"/>
      <w:bookmarkStart w:id="55" w:name="_Toc396035059"/>
      <w:bookmarkStart w:id="56" w:name="_Toc398800450"/>
      <w:r w:rsidRPr="0047139A">
        <w:rPr>
          <w:lang w:val="en-AU"/>
        </w:rPr>
        <w:t>Kerbs and Gutters</w:t>
      </w:r>
      <w:bookmarkEnd w:id="53"/>
      <w:bookmarkEnd w:id="54"/>
      <w:bookmarkEnd w:id="55"/>
      <w:bookmarkEnd w:id="56"/>
    </w:p>
    <w:p w:rsidR="009D57CB" w:rsidRPr="0047139A" w:rsidRDefault="009D57CB" w:rsidP="00866F1C">
      <w:r w:rsidRPr="0047139A">
        <w:t>Construct kerbs and gutters as integral units.</w:t>
      </w:r>
    </w:p>
    <w:p w:rsidR="009D57CB" w:rsidRPr="0047139A" w:rsidRDefault="009D57CB">
      <w:pPr>
        <w:pStyle w:val="Heading3"/>
        <w:rPr>
          <w:lang w:val="en-AU"/>
        </w:rPr>
      </w:pPr>
      <w:bookmarkStart w:id="57" w:name="_Toc390823690"/>
      <w:bookmarkStart w:id="58" w:name="_Toc391429382"/>
      <w:bookmarkStart w:id="59" w:name="_Toc396035060"/>
      <w:bookmarkStart w:id="60" w:name="_Toc398800451"/>
      <w:r w:rsidRPr="0047139A">
        <w:rPr>
          <w:lang w:val="en-AU"/>
        </w:rPr>
        <w:t xml:space="preserve">Formwork </w:t>
      </w:r>
      <w:r w:rsidR="00A20292">
        <w:rPr>
          <w:lang w:val="en-AU"/>
        </w:rPr>
        <w:t>–</w:t>
      </w:r>
      <w:r w:rsidRPr="0047139A">
        <w:rPr>
          <w:lang w:val="en-AU"/>
        </w:rPr>
        <w:t xml:space="preserve"> </w:t>
      </w:r>
      <w:bookmarkEnd w:id="57"/>
      <w:bookmarkEnd w:id="58"/>
      <w:bookmarkEnd w:id="59"/>
      <w:bookmarkEnd w:id="60"/>
      <w:r w:rsidR="00A20292">
        <w:rPr>
          <w:lang w:val="en-AU"/>
        </w:rPr>
        <w:t>Witness Point</w:t>
      </w:r>
    </w:p>
    <w:p w:rsidR="009D57CB" w:rsidRPr="0047139A" w:rsidRDefault="009D57CB" w:rsidP="00866F1C">
      <w:r w:rsidRPr="0047139A">
        <w:t>Design and construct forms so that they are mortar tight and can be removed without damaging the concrete.</w:t>
      </w:r>
    </w:p>
    <w:p w:rsidR="009D57CB" w:rsidRPr="0047139A" w:rsidRDefault="009D57CB" w:rsidP="00866F1C">
      <w:r w:rsidRPr="0047139A">
        <w:t>Build forms true to line and braced in a substantial and non</w:t>
      </w:r>
      <w:r w:rsidRPr="0047139A">
        <w:noBreakHyphen/>
        <w:t>yielding manner.</w:t>
      </w:r>
    </w:p>
    <w:p w:rsidR="009D57CB" w:rsidRPr="0047139A" w:rsidRDefault="00147810" w:rsidP="00866F1C">
      <w:r w:rsidRPr="00866F1C">
        <w:rPr>
          <w:b/>
        </w:rPr>
        <w:t>Witness P</w:t>
      </w:r>
      <w:r w:rsidR="00A20292" w:rsidRPr="00866F1C">
        <w:rPr>
          <w:b/>
        </w:rPr>
        <w:t>oint</w:t>
      </w:r>
      <w:r w:rsidR="009D57CB" w:rsidRPr="00866F1C">
        <w:rPr>
          <w:b/>
        </w:rPr>
        <w:t xml:space="preserve"> -</w:t>
      </w:r>
      <w:r w:rsidR="009D57CB" w:rsidRPr="0047139A">
        <w:t xml:space="preserve"> Do not place concrete until the formwork has been inspected by the Superintendent.</w:t>
      </w:r>
    </w:p>
    <w:p w:rsidR="009D57CB" w:rsidRPr="0047139A" w:rsidRDefault="009D57CB">
      <w:pPr>
        <w:pStyle w:val="Heading3"/>
        <w:rPr>
          <w:lang w:val="en-AU"/>
        </w:rPr>
      </w:pPr>
      <w:bookmarkStart w:id="61" w:name="_Toc390823691"/>
      <w:bookmarkStart w:id="62" w:name="_Toc391429383"/>
      <w:bookmarkStart w:id="63" w:name="_Toc396035061"/>
      <w:bookmarkStart w:id="64" w:name="_Toc398800452"/>
      <w:r w:rsidRPr="0047139A">
        <w:rPr>
          <w:lang w:val="en-AU"/>
        </w:rPr>
        <w:t xml:space="preserve">Placing of Concrete </w:t>
      </w:r>
      <w:r w:rsidR="00A20292">
        <w:rPr>
          <w:lang w:val="en-AU"/>
        </w:rPr>
        <w:t>–</w:t>
      </w:r>
      <w:r w:rsidRPr="0047139A">
        <w:rPr>
          <w:lang w:val="en-AU"/>
        </w:rPr>
        <w:t xml:space="preserve"> </w:t>
      </w:r>
      <w:bookmarkEnd w:id="61"/>
      <w:bookmarkEnd w:id="62"/>
      <w:bookmarkEnd w:id="63"/>
      <w:bookmarkEnd w:id="64"/>
      <w:r w:rsidR="00A20292">
        <w:rPr>
          <w:lang w:val="en-AU"/>
        </w:rPr>
        <w:t>Witness Point</w:t>
      </w:r>
      <w:r w:rsidRPr="0047139A">
        <w:rPr>
          <w:lang w:val="en-AU"/>
        </w:rPr>
        <w:t xml:space="preserve"> </w:t>
      </w:r>
      <w:r w:rsidR="00A20292">
        <w:rPr>
          <w:lang w:val="en-AU"/>
        </w:rPr>
        <w:t>–</w:t>
      </w:r>
      <w:r w:rsidRPr="0047139A">
        <w:rPr>
          <w:lang w:val="en-AU"/>
        </w:rPr>
        <w:t xml:space="preserve"> </w:t>
      </w:r>
      <w:r w:rsidR="00A20292">
        <w:rPr>
          <w:lang w:val="en-AU"/>
        </w:rPr>
        <w:t>Hold Point</w:t>
      </w:r>
    </w:p>
    <w:p w:rsidR="009D57CB" w:rsidRPr="0047139A" w:rsidRDefault="00147810" w:rsidP="00866F1C">
      <w:r>
        <w:rPr>
          <w:b/>
        </w:rPr>
        <w:t>Witness P</w:t>
      </w:r>
      <w:r w:rsidR="00A20292" w:rsidRPr="00367D33">
        <w:rPr>
          <w:b/>
        </w:rPr>
        <w:t>oint</w:t>
      </w:r>
      <w:r w:rsidR="009D57CB" w:rsidRPr="0047139A">
        <w:t xml:space="preserve"> - Give the Superintendent sufficient notice so that inspection may be made before and during pouring concrete.</w:t>
      </w:r>
    </w:p>
    <w:p w:rsidR="009D57CB" w:rsidRPr="0047139A" w:rsidRDefault="00147810" w:rsidP="00866F1C">
      <w:r>
        <w:rPr>
          <w:b/>
        </w:rPr>
        <w:t>Hold P</w:t>
      </w:r>
      <w:r w:rsidR="00A20292" w:rsidRPr="00367D33">
        <w:rPr>
          <w:b/>
        </w:rPr>
        <w:t>oint</w:t>
      </w:r>
      <w:r w:rsidR="009D57CB" w:rsidRPr="0047139A">
        <w:t xml:space="preserve"> - Provide verification that all constituent materials, formwork, falsework, reinforcement, </w:t>
      </w:r>
      <w:r w:rsidR="009070E7">
        <w:t xml:space="preserve">reinforcement supports, </w:t>
      </w:r>
      <w:r w:rsidR="009D57CB" w:rsidRPr="0047139A">
        <w:t>and environmental conditions comply with all requirements.  Do not cast any concrete without that verification.</w:t>
      </w:r>
    </w:p>
    <w:p w:rsidR="009D57CB" w:rsidRPr="0047139A" w:rsidRDefault="009D57CB" w:rsidP="00866F1C">
      <w:r w:rsidRPr="0047139A">
        <w:t>Do not place concrete if the temperature of the concrete exceeds 35</w:t>
      </w:r>
      <w:r w:rsidR="00147810">
        <w:rPr>
          <w:rFonts w:cs="Arial"/>
        </w:rPr>
        <w:t>°</w:t>
      </w:r>
      <w:r w:rsidRPr="0047139A">
        <w:t>C, or if the ambient air temperature exceeds 40</w:t>
      </w:r>
      <w:r w:rsidR="00147810">
        <w:rPr>
          <w:rFonts w:cs="Arial"/>
        </w:rPr>
        <w:t>°</w:t>
      </w:r>
      <w:r w:rsidRPr="0047139A">
        <w:t>C.</w:t>
      </w:r>
    </w:p>
    <w:p w:rsidR="009D57CB" w:rsidRPr="0047139A" w:rsidRDefault="009D57CB" w:rsidP="00866F1C">
      <w:r w:rsidRPr="0047139A">
        <w:t xml:space="preserve">Place and compact concrete within the following time after the addition of the mixing water to </w:t>
      </w:r>
      <w:r w:rsidRPr="0047139A">
        <w:lastRenderedPageBreak/>
        <w:t>the mix:</w:t>
      </w:r>
    </w:p>
    <w:tbl>
      <w:tblPr>
        <w:tblW w:w="5000" w:type="pct"/>
        <w:tblBorders>
          <w:top w:val="single" w:sz="6" w:space="0" w:color="auto"/>
          <w:left w:val="single" w:sz="4" w:space="0" w:color="auto"/>
          <w:bottom w:val="single" w:sz="6" w:space="0" w:color="auto"/>
          <w:right w:val="single" w:sz="4" w:space="0" w:color="auto"/>
          <w:insideH w:val="single" w:sz="4" w:space="0" w:color="auto"/>
          <w:insideV w:val="single" w:sz="4" w:space="0" w:color="auto"/>
        </w:tblBorders>
        <w:tblLook w:val="0000" w:firstRow="0" w:lastRow="0" w:firstColumn="0" w:lastColumn="0" w:noHBand="0" w:noVBand="0"/>
      </w:tblPr>
      <w:tblGrid>
        <w:gridCol w:w="5554"/>
        <w:gridCol w:w="3740"/>
      </w:tblGrid>
      <w:tr w:rsidR="009D57CB" w:rsidRPr="0047139A" w:rsidTr="005F0C05">
        <w:trPr>
          <w:cantSplit/>
          <w:tblHeader/>
        </w:trPr>
        <w:tc>
          <w:tcPr>
            <w:tcW w:w="5000" w:type="pct"/>
            <w:gridSpan w:val="2"/>
            <w:vAlign w:val="center"/>
          </w:tcPr>
          <w:p w:rsidR="009D57CB" w:rsidRPr="00866F1C" w:rsidRDefault="00367D33" w:rsidP="0060073E">
            <w:pPr>
              <w:keepNext/>
              <w:spacing w:after="0"/>
              <w:rPr>
                <w:b/>
              </w:rPr>
            </w:pPr>
            <w:r w:rsidRPr="00866F1C">
              <w:rPr>
                <w:b/>
              </w:rPr>
              <w:t>Table - Maximum Time To Place Concrete After Mixing</w:t>
            </w:r>
          </w:p>
        </w:tc>
      </w:tr>
      <w:tr w:rsidR="009D57CB" w:rsidRPr="0047139A" w:rsidTr="005F0C05">
        <w:trPr>
          <w:cantSplit/>
          <w:tblHeader/>
        </w:trPr>
        <w:tc>
          <w:tcPr>
            <w:tcW w:w="2988" w:type="pct"/>
            <w:vAlign w:val="center"/>
          </w:tcPr>
          <w:p w:rsidR="009D57CB" w:rsidRPr="00866F1C" w:rsidRDefault="00367D33" w:rsidP="0060073E">
            <w:pPr>
              <w:keepNext/>
              <w:spacing w:after="0"/>
              <w:jc w:val="center"/>
              <w:rPr>
                <w:b/>
              </w:rPr>
            </w:pPr>
            <w:r w:rsidRPr="00866F1C">
              <w:rPr>
                <w:b/>
              </w:rPr>
              <w:t>Concrete Temperature At Time Of Placing</w:t>
            </w:r>
          </w:p>
        </w:tc>
        <w:tc>
          <w:tcPr>
            <w:tcW w:w="2012" w:type="pct"/>
            <w:vAlign w:val="center"/>
          </w:tcPr>
          <w:p w:rsidR="009D57CB" w:rsidRPr="00866F1C" w:rsidRDefault="00367D33" w:rsidP="0060073E">
            <w:pPr>
              <w:keepNext/>
              <w:spacing w:after="0"/>
              <w:jc w:val="center"/>
              <w:rPr>
                <w:b/>
              </w:rPr>
            </w:pPr>
            <w:r w:rsidRPr="00866F1C">
              <w:rPr>
                <w:b/>
              </w:rPr>
              <w:t>Maximum Time</w:t>
            </w:r>
          </w:p>
          <w:p w:rsidR="009D57CB" w:rsidRPr="00866F1C" w:rsidRDefault="00367D33" w:rsidP="0060073E">
            <w:pPr>
              <w:keepNext/>
              <w:spacing w:after="0"/>
              <w:jc w:val="center"/>
              <w:rPr>
                <w:b/>
              </w:rPr>
            </w:pPr>
            <w:r w:rsidRPr="00866F1C">
              <w:rPr>
                <w:b/>
              </w:rPr>
              <w:t>(minutes)</w:t>
            </w:r>
          </w:p>
        </w:tc>
      </w:tr>
      <w:tr w:rsidR="00367D33" w:rsidRPr="0047139A" w:rsidTr="005F0C05">
        <w:trPr>
          <w:cantSplit/>
        </w:trPr>
        <w:tc>
          <w:tcPr>
            <w:tcW w:w="2988" w:type="pct"/>
            <w:vAlign w:val="center"/>
          </w:tcPr>
          <w:p w:rsidR="00367D33" w:rsidRPr="0047139A" w:rsidRDefault="00367D33" w:rsidP="0060073E">
            <w:pPr>
              <w:keepNext/>
              <w:spacing w:after="0"/>
              <w:jc w:val="center"/>
            </w:pPr>
            <w:r>
              <w:t>25</w:t>
            </w:r>
            <w:r>
              <w:rPr>
                <w:rFonts w:cs="Arial"/>
              </w:rPr>
              <w:t>°</w:t>
            </w:r>
            <w:r>
              <w:t>C to 28</w:t>
            </w:r>
            <w:r>
              <w:rPr>
                <w:rFonts w:cs="Arial"/>
              </w:rPr>
              <w:t>°</w:t>
            </w:r>
            <w:r w:rsidRPr="0047139A">
              <w:t>C</w:t>
            </w:r>
          </w:p>
        </w:tc>
        <w:tc>
          <w:tcPr>
            <w:tcW w:w="2012" w:type="pct"/>
            <w:vAlign w:val="center"/>
          </w:tcPr>
          <w:p w:rsidR="00367D33" w:rsidRPr="0047139A" w:rsidRDefault="00367D33" w:rsidP="0060073E">
            <w:pPr>
              <w:keepNext/>
              <w:spacing w:after="0"/>
              <w:jc w:val="center"/>
            </w:pPr>
            <w:r w:rsidRPr="0047139A">
              <w:t>75</w:t>
            </w:r>
          </w:p>
        </w:tc>
      </w:tr>
      <w:tr w:rsidR="00367D33" w:rsidRPr="0047139A" w:rsidTr="005F0C05">
        <w:trPr>
          <w:cantSplit/>
        </w:trPr>
        <w:tc>
          <w:tcPr>
            <w:tcW w:w="2988" w:type="pct"/>
            <w:vAlign w:val="center"/>
          </w:tcPr>
          <w:p w:rsidR="00367D33" w:rsidRPr="0047139A" w:rsidRDefault="00367D33" w:rsidP="0060073E">
            <w:pPr>
              <w:keepNext/>
              <w:spacing w:after="0"/>
              <w:jc w:val="center"/>
            </w:pPr>
            <w:r>
              <w:t>28</w:t>
            </w:r>
            <w:r>
              <w:rPr>
                <w:rFonts w:cs="Arial"/>
              </w:rPr>
              <w:t>°</w:t>
            </w:r>
            <w:r>
              <w:t>C to 32</w:t>
            </w:r>
            <w:r>
              <w:rPr>
                <w:rFonts w:cs="Arial"/>
              </w:rPr>
              <w:t>°</w:t>
            </w:r>
            <w:r w:rsidRPr="0047139A">
              <w:t>C</w:t>
            </w:r>
          </w:p>
        </w:tc>
        <w:tc>
          <w:tcPr>
            <w:tcW w:w="2012" w:type="pct"/>
            <w:vAlign w:val="center"/>
          </w:tcPr>
          <w:p w:rsidR="00367D33" w:rsidRPr="0047139A" w:rsidRDefault="00367D33" w:rsidP="0060073E">
            <w:pPr>
              <w:keepNext/>
              <w:spacing w:after="0"/>
              <w:jc w:val="center"/>
            </w:pPr>
            <w:r w:rsidRPr="0047139A">
              <w:t>60</w:t>
            </w:r>
          </w:p>
        </w:tc>
      </w:tr>
      <w:tr w:rsidR="00367D33" w:rsidRPr="0047139A" w:rsidTr="005F0C05">
        <w:trPr>
          <w:cantSplit/>
        </w:trPr>
        <w:tc>
          <w:tcPr>
            <w:tcW w:w="2988" w:type="pct"/>
            <w:vAlign w:val="center"/>
          </w:tcPr>
          <w:p w:rsidR="00367D33" w:rsidRPr="0047139A" w:rsidRDefault="00367D33" w:rsidP="005F0C05">
            <w:pPr>
              <w:spacing w:after="0"/>
              <w:jc w:val="center"/>
            </w:pPr>
            <w:r>
              <w:t>32</w:t>
            </w:r>
            <w:r>
              <w:rPr>
                <w:rFonts w:cs="Arial"/>
              </w:rPr>
              <w:t>°</w:t>
            </w:r>
            <w:r>
              <w:t>C to 35</w:t>
            </w:r>
            <w:r>
              <w:rPr>
                <w:rFonts w:cs="Arial"/>
              </w:rPr>
              <w:t>°</w:t>
            </w:r>
            <w:r w:rsidRPr="0047139A">
              <w:t>C</w:t>
            </w:r>
          </w:p>
        </w:tc>
        <w:tc>
          <w:tcPr>
            <w:tcW w:w="2012" w:type="pct"/>
            <w:vAlign w:val="center"/>
          </w:tcPr>
          <w:p w:rsidR="00367D33" w:rsidRPr="0047139A" w:rsidRDefault="00367D33" w:rsidP="005F0C05">
            <w:pPr>
              <w:spacing w:after="0"/>
              <w:jc w:val="center"/>
            </w:pPr>
            <w:r w:rsidRPr="0047139A">
              <w:t>45</w:t>
            </w:r>
          </w:p>
        </w:tc>
      </w:tr>
    </w:tbl>
    <w:p w:rsidR="00FA51AC" w:rsidRDefault="00FA51AC" w:rsidP="00866F1C"/>
    <w:p w:rsidR="009D57CB" w:rsidRPr="0047139A" w:rsidRDefault="009D57CB" w:rsidP="00866F1C">
      <w:r w:rsidRPr="0047139A">
        <w:t>Place concrete in a continuous operation between construction joints so that the face of the concrete is in a plastic state when succeeding concrete is placed against it.</w:t>
      </w:r>
    </w:p>
    <w:p w:rsidR="009D57CB" w:rsidRPr="0047139A" w:rsidRDefault="009D57CB" w:rsidP="00866F1C">
      <w:r w:rsidRPr="0047139A">
        <w:t>Do not allow concrete to free</w:t>
      </w:r>
      <w:r w:rsidRPr="0047139A">
        <w:noBreakHyphen/>
        <w:t>fall from a height greater than 1.5 metres.</w:t>
      </w:r>
    </w:p>
    <w:p w:rsidR="009D57CB" w:rsidRPr="0047139A" w:rsidRDefault="009D57CB" w:rsidP="00866F1C">
      <w:r w:rsidRPr="0047139A">
        <w:t>Place all concrete in dry weather unless otherwise approved.</w:t>
      </w:r>
    </w:p>
    <w:p w:rsidR="009D57CB" w:rsidRPr="0047139A" w:rsidRDefault="009D57CB" w:rsidP="00866F1C">
      <w:r w:rsidRPr="0047139A">
        <w:t>For each truck of premixed concrete provide an identification certificate on delivery listing the information required by AS 1379 and any other particular requirements for special class concrete.</w:t>
      </w:r>
    </w:p>
    <w:p w:rsidR="009D57CB" w:rsidRPr="0047139A" w:rsidRDefault="009D57CB">
      <w:pPr>
        <w:pStyle w:val="Heading3"/>
        <w:rPr>
          <w:lang w:val="en-AU"/>
        </w:rPr>
      </w:pPr>
      <w:bookmarkStart w:id="65" w:name="_Toc390823692"/>
      <w:bookmarkStart w:id="66" w:name="_Toc391429384"/>
      <w:bookmarkStart w:id="67" w:name="_Toc396035062"/>
      <w:bookmarkStart w:id="68" w:name="_Toc398800453"/>
      <w:r w:rsidRPr="0047139A">
        <w:rPr>
          <w:lang w:val="en-AU"/>
        </w:rPr>
        <w:t>Jointing</w:t>
      </w:r>
      <w:bookmarkEnd w:id="65"/>
      <w:bookmarkEnd w:id="66"/>
      <w:bookmarkEnd w:id="67"/>
      <w:bookmarkEnd w:id="68"/>
    </w:p>
    <w:p w:rsidR="009D57CB" w:rsidRPr="0060073E" w:rsidRDefault="009D57CB">
      <w:pPr>
        <w:pStyle w:val="BoldCapital"/>
        <w:rPr>
          <w:b w:val="0"/>
          <w:lang w:val="en-AU"/>
        </w:rPr>
      </w:pPr>
      <w:r w:rsidRPr="0060073E">
        <w:rPr>
          <w:b w:val="0"/>
          <w:lang w:val="en-AU"/>
        </w:rPr>
        <w:t>CONSTRUCTION JOINTS</w:t>
      </w:r>
    </w:p>
    <w:p w:rsidR="009D57CB" w:rsidRPr="0047139A" w:rsidRDefault="009D57CB" w:rsidP="00866F1C">
      <w:r w:rsidRPr="0047139A">
        <w:t>Roughen and clean face of hardened concrete before placing fresh concrete against it.  Remove soft material, foreign matter and laitance. Thoroughly moisten the joint surface.</w:t>
      </w:r>
    </w:p>
    <w:p w:rsidR="009D57CB" w:rsidRPr="0060073E" w:rsidRDefault="009D57CB">
      <w:pPr>
        <w:pStyle w:val="BoldCapital"/>
        <w:rPr>
          <w:b w:val="0"/>
          <w:lang w:val="en-AU"/>
        </w:rPr>
      </w:pPr>
      <w:r w:rsidRPr="0060073E">
        <w:rPr>
          <w:b w:val="0"/>
          <w:lang w:val="en-AU"/>
        </w:rPr>
        <w:t>EXPANSION/CONTRACTION JOINTS</w:t>
      </w:r>
    </w:p>
    <w:p w:rsidR="009D57CB" w:rsidRPr="0047139A" w:rsidRDefault="009D57CB" w:rsidP="00866F1C">
      <w:pPr>
        <w:tabs>
          <w:tab w:val="left" w:pos="3402"/>
        </w:tabs>
      </w:pPr>
      <w:r w:rsidRPr="0047139A">
        <w:t>Joints to be 10 mm wide over full length and filled with a bitumen impregnated fibrous filler.</w:t>
      </w:r>
    </w:p>
    <w:p w:rsidR="009D57CB" w:rsidRPr="0047139A" w:rsidRDefault="009D57CB" w:rsidP="00866F1C">
      <w:pPr>
        <w:tabs>
          <w:tab w:val="left" w:pos="3402"/>
        </w:tabs>
      </w:pPr>
      <w:r w:rsidRPr="0047139A">
        <w:t>Provide vertical transverse expansion/contraction joints as follows:</w:t>
      </w:r>
    </w:p>
    <w:p w:rsidR="009D57CB" w:rsidRPr="0047139A" w:rsidRDefault="009D57CB" w:rsidP="0060073E">
      <w:pPr>
        <w:pStyle w:val="ListParagraph"/>
        <w:numPr>
          <w:ilvl w:val="0"/>
          <w:numId w:val="29"/>
        </w:numPr>
        <w:tabs>
          <w:tab w:val="left" w:pos="3402"/>
        </w:tabs>
      </w:pPr>
      <w:r w:rsidRPr="0047139A">
        <w:t>Footpaths:</w:t>
      </w:r>
      <w:r w:rsidRPr="0047139A">
        <w:tab/>
        <w:t>6 m spacing maximum.</w:t>
      </w:r>
    </w:p>
    <w:p w:rsidR="009D57CB" w:rsidRPr="0047139A" w:rsidRDefault="009D57CB" w:rsidP="0060073E">
      <w:pPr>
        <w:pStyle w:val="ListParagraph"/>
        <w:numPr>
          <w:ilvl w:val="0"/>
          <w:numId w:val="29"/>
        </w:numPr>
        <w:tabs>
          <w:tab w:val="left" w:pos="3402"/>
        </w:tabs>
      </w:pPr>
      <w:r w:rsidRPr="0047139A">
        <w:t>At junctions with other concrete structures</w:t>
      </w:r>
    </w:p>
    <w:p w:rsidR="009D57CB" w:rsidRPr="0047139A" w:rsidRDefault="009D57CB" w:rsidP="0060073E">
      <w:pPr>
        <w:pStyle w:val="ListParagraph"/>
        <w:numPr>
          <w:ilvl w:val="0"/>
          <w:numId w:val="29"/>
        </w:numPr>
        <w:tabs>
          <w:tab w:val="left" w:pos="3402"/>
        </w:tabs>
      </w:pPr>
      <w:r w:rsidRPr="0047139A">
        <w:t>Inverts:</w:t>
      </w:r>
      <w:r w:rsidRPr="0047139A">
        <w:tab/>
        <w:t>15 m spacing maximum.</w:t>
      </w:r>
    </w:p>
    <w:p w:rsidR="009D57CB" w:rsidRPr="0047139A" w:rsidRDefault="009D57CB" w:rsidP="0060073E">
      <w:pPr>
        <w:pStyle w:val="ListParagraph"/>
        <w:numPr>
          <w:ilvl w:val="0"/>
          <w:numId w:val="29"/>
        </w:numPr>
        <w:tabs>
          <w:tab w:val="left" w:pos="3402"/>
        </w:tabs>
      </w:pPr>
      <w:r w:rsidRPr="0047139A">
        <w:t>All other works:</w:t>
      </w:r>
      <w:r w:rsidRPr="0047139A">
        <w:tab/>
        <w:t>As shown on the drawings.</w:t>
      </w:r>
    </w:p>
    <w:p w:rsidR="009D57CB" w:rsidRPr="0047139A" w:rsidRDefault="009D57CB">
      <w:pPr>
        <w:pStyle w:val="guidenotes"/>
        <w:rPr>
          <w:lang w:val="en-AU"/>
        </w:rPr>
      </w:pPr>
      <w:r w:rsidRPr="0047139A">
        <w:rPr>
          <w:lang w:val="en-AU"/>
        </w:rPr>
        <w:t>[Ensure these are shown on the drawings]</w:t>
      </w:r>
    </w:p>
    <w:p w:rsidR="009D57CB" w:rsidRPr="0060073E" w:rsidRDefault="009D57CB">
      <w:pPr>
        <w:pStyle w:val="BoldCapital"/>
        <w:rPr>
          <w:b w:val="0"/>
          <w:lang w:val="en-AU"/>
        </w:rPr>
      </w:pPr>
      <w:r w:rsidRPr="0060073E">
        <w:rPr>
          <w:b w:val="0"/>
          <w:lang w:val="en-AU"/>
        </w:rPr>
        <w:t>tooled JOINTS</w:t>
      </w:r>
    </w:p>
    <w:p w:rsidR="009D57CB" w:rsidRPr="0047139A" w:rsidRDefault="00866F1C" w:rsidP="00866F1C">
      <w:r>
        <w:t xml:space="preserve">Provide </w:t>
      </w:r>
      <w:r w:rsidR="009D57CB" w:rsidRPr="0047139A">
        <w:t>tooled joints as follows:</w:t>
      </w:r>
    </w:p>
    <w:p w:rsidR="009D57CB" w:rsidRPr="0047139A" w:rsidRDefault="009D57CB" w:rsidP="0060073E">
      <w:pPr>
        <w:pStyle w:val="Bullet"/>
        <w:numPr>
          <w:ilvl w:val="0"/>
          <w:numId w:val="28"/>
        </w:numPr>
      </w:pPr>
      <w:r w:rsidRPr="0047139A">
        <w:t>Transverse vertical grooves 20 mm depth minimum.</w:t>
      </w:r>
    </w:p>
    <w:p w:rsidR="009D57CB" w:rsidRPr="0047139A" w:rsidRDefault="009D57CB" w:rsidP="0060073E">
      <w:pPr>
        <w:pStyle w:val="Bullet"/>
        <w:numPr>
          <w:ilvl w:val="0"/>
          <w:numId w:val="28"/>
        </w:numPr>
      </w:pPr>
      <w:r w:rsidRPr="0047139A">
        <w:t>Joints at right angles to outer edge of concrete works.</w:t>
      </w:r>
    </w:p>
    <w:p w:rsidR="009D57CB" w:rsidRPr="0047139A" w:rsidRDefault="009D57CB" w:rsidP="0060073E">
      <w:pPr>
        <w:pStyle w:val="ListParagraph"/>
        <w:numPr>
          <w:ilvl w:val="0"/>
          <w:numId w:val="28"/>
        </w:numPr>
        <w:tabs>
          <w:tab w:val="left" w:pos="3402"/>
        </w:tabs>
      </w:pPr>
      <w:r w:rsidRPr="0047139A">
        <w:t>Footpaths:</w:t>
      </w:r>
      <w:r w:rsidRPr="0047139A">
        <w:tab/>
        <w:t>2 m spacing maximum.</w:t>
      </w:r>
    </w:p>
    <w:p w:rsidR="009D57CB" w:rsidRPr="0047139A" w:rsidRDefault="009D57CB" w:rsidP="0060073E">
      <w:pPr>
        <w:pStyle w:val="ListParagraph"/>
        <w:numPr>
          <w:ilvl w:val="0"/>
          <w:numId w:val="28"/>
        </w:numPr>
        <w:tabs>
          <w:tab w:val="left" w:pos="3402"/>
        </w:tabs>
      </w:pPr>
      <w:r w:rsidRPr="0047139A">
        <w:t>Kerbs/Inverts:</w:t>
      </w:r>
      <w:r w:rsidRPr="0047139A">
        <w:tab/>
        <w:t>3 m spacing maximum.</w:t>
      </w:r>
    </w:p>
    <w:p w:rsidR="009D57CB" w:rsidRPr="0047139A" w:rsidRDefault="009D57CB" w:rsidP="0060073E">
      <w:pPr>
        <w:pStyle w:val="ListParagraph"/>
        <w:numPr>
          <w:ilvl w:val="0"/>
          <w:numId w:val="28"/>
        </w:numPr>
        <w:tabs>
          <w:tab w:val="left" w:pos="3402"/>
        </w:tabs>
      </w:pPr>
      <w:r w:rsidRPr="0047139A">
        <w:t>All other works:</w:t>
      </w:r>
      <w:r w:rsidRPr="0047139A">
        <w:tab/>
        <w:t>As shown on the drawings.</w:t>
      </w:r>
    </w:p>
    <w:p w:rsidR="009D57CB" w:rsidRPr="0047139A" w:rsidRDefault="009D57CB">
      <w:pPr>
        <w:pStyle w:val="guidenotes"/>
        <w:rPr>
          <w:lang w:val="en-AU"/>
        </w:rPr>
      </w:pPr>
      <w:r w:rsidRPr="0047139A">
        <w:rPr>
          <w:lang w:val="en-AU"/>
        </w:rPr>
        <w:t>[Ensure these are shown on the drawings]</w:t>
      </w:r>
    </w:p>
    <w:p w:rsidR="009D57CB" w:rsidRPr="0047139A" w:rsidRDefault="009D57CB" w:rsidP="0060073E">
      <w:pPr>
        <w:pStyle w:val="Heading3"/>
        <w:keepNext/>
        <w:rPr>
          <w:lang w:val="en-AU"/>
        </w:rPr>
      </w:pPr>
      <w:r w:rsidRPr="0047139A">
        <w:rPr>
          <w:lang w:val="en-AU"/>
        </w:rPr>
        <w:t>Surface Finishes</w:t>
      </w:r>
    </w:p>
    <w:p w:rsidR="009D57CB" w:rsidRPr="0047139A" w:rsidRDefault="009D57CB" w:rsidP="00866F1C">
      <w:r w:rsidRPr="0047139A">
        <w:t>Finish surfaces to a smooth and even colour.</w:t>
      </w:r>
    </w:p>
    <w:p w:rsidR="009D57CB" w:rsidRPr="0047139A" w:rsidRDefault="009D57CB" w:rsidP="00866F1C">
      <w:r w:rsidRPr="0047139A">
        <w:lastRenderedPageBreak/>
        <w:t>Remove free surface water during final screeding of unformed surfaces.</w:t>
      </w:r>
    </w:p>
    <w:p w:rsidR="009D57CB" w:rsidRPr="0047139A" w:rsidRDefault="009D57CB" w:rsidP="00866F1C">
      <w:r w:rsidRPr="0047139A">
        <w:t>Round off exposed edges and corners.</w:t>
      </w:r>
    </w:p>
    <w:p w:rsidR="009D57CB" w:rsidRDefault="009D57CB" w:rsidP="00866F1C">
      <w:r w:rsidRPr="0047139A">
        <w:t>Protect exposed surfaces from rain until final set has occurred.</w:t>
      </w:r>
    </w:p>
    <w:p w:rsidR="00294725" w:rsidRPr="0047139A" w:rsidRDefault="00294725" w:rsidP="00866F1C">
      <w:r>
        <w:t>Smooth tumbled RCG used as an exposed aggregate surface finish.</w:t>
      </w:r>
    </w:p>
    <w:p w:rsidR="009D57CB" w:rsidRPr="0047139A" w:rsidRDefault="009D57CB" w:rsidP="00866F1C">
      <w:r w:rsidRPr="0047139A">
        <w:t xml:space="preserve">Conform to the </w:t>
      </w:r>
      <w:r w:rsidR="001B0707" w:rsidRPr="0060073E">
        <w:rPr>
          <w:b/>
          <w:i/>
        </w:rPr>
        <w:t xml:space="preserve">Table </w:t>
      </w:r>
      <w:r w:rsidR="002F2BF6" w:rsidRPr="0060073E">
        <w:rPr>
          <w:b/>
          <w:i/>
        </w:rPr>
        <w:t xml:space="preserve">- </w:t>
      </w:r>
      <w:r w:rsidR="001B0707" w:rsidRPr="0060073E">
        <w:rPr>
          <w:b/>
          <w:i/>
        </w:rPr>
        <w:t>Concrete Finishes</w:t>
      </w:r>
      <w:r w:rsidRPr="0047139A">
        <w:t>.</w:t>
      </w:r>
    </w:p>
    <w:tbl>
      <w:tblPr>
        <w:tblW w:w="5158" w:type="pct"/>
        <w:tblBorders>
          <w:top w:val="single" w:sz="6" w:space="0" w:color="auto"/>
          <w:left w:val="single" w:sz="4" w:space="0" w:color="auto"/>
          <w:bottom w:val="single" w:sz="6" w:space="0" w:color="auto"/>
          <w:right w:val="single" w:sz="4" w:space="0" w:color="auto"/>
          <w:insideH w:val="single" w:sz="2" w:space="0" w:color="auto"/>
          <w:insideV w:val="single" w:sz="4" w:space="0" w:color="auto"/>
        </w:tblBorders>
        <w:tblLook w:val="0000" w:firstRow="0" w:lastRow="0" w:firstColumn="0" w:lastColumn="0" w:noHBand="0" w:noVBand="0"/>
      </w:tblPr>
      <w:tblGrid>
        <w:gridCol w:w="1026"/>
        <w:gridCol w:w="4280"/>
        <w:gridCol w:w="4282"/>
      </w:tblGrid>
      <w:tr w:rsidR="00757E84" w:rsidRPr="0047139A" w:rsidTr="0060073E">
        <w:trPr>
          <w:cantSplit/>
          <w:trHeight w:val="504"/>
          <w:tblHeader/>
        </w:trPr>
        <w:tc>
          <w:tcPr>
            <w:tcW w:w="5000" w:type="pct"/>
            <w:gridSpan w:val="3"/>
            <w:vAlign w:val="center"/>
          </w:tcPr>
          <w:p w:rsidR="00757E84" w:rsidRPr="00866F1C" w:rsidRDefault="00EB4304" w:rsidP="0060073E">
            <w:pPr>
              <w:keepNext/>
              <w:spacing w:after="0"/>
              <w:rPr>
                <w:b/>
              </w:rPr>
            </w:pPr>
            <w:r w:rsidRPr="00866F1C">
              <w:rPr>
                <w:b/>
              </w:rPr>
              <w:t>Table – Concrete Finishes</w:t>
            </w:r>
          </w:p>
        </w:tc>
      </w:tr>
      <w:tr w:rsidR="009D57CB" w:rsidRPr="0047139A" w:rsidTr="0060073E">
        <w:trPr>
          <w:cantSplit/>
          <w:trHeight w:val="524"/>
          <w:tblHeader/>
        </w:trPr>
        <w:tc>
          <w:tcPr>
            <w:tcW w:w="535" w:type="pct"/>
            <w:vAlign w:val="center"/>
          </w:tcPr>
          <w:p w:rsidR="009D57CB" w:rsidRPr="00866F1C" w:rsidRDefault="00EB4304" w:rsidP="0060073E">
            <w:pPr>
              <w:keepNext/>
              <w:spacing w:after="0"/>
              <w:rPr>
                <w:b/>
              </w:rPr>
            </w:pPr>
            <w:r w:rsidRPr="00866F1C">
              <w:rPr>
                <w:b/>
              </w:rPr>
              <w:t>Type</w:t>
            </w:r>
          </w:p>
        </w:tc>
        <w:tc>
          <w:tcPr>
            <w:tcW w:w="2232" w:type="pct"/>
            <w:vAlign w:val="center"/>
          </w:tcPr>
          <w:p w:rsidR="009D57CB" w:rsidRPr="00866F1C" w:rsidRDefault="00EB4304" w:rsidP="0060073E">
            <w:pPr>
              <w:keepNext/>
              <w:spacing w:after="0"/>
              <w:rPr>
                <w:b/>
              </w:rPr>
            </w:pPr>
            <w:r w:rsidRPr="00866F1C">
              <w:rPr>
                <w:b/>
              </w:rPr>
              <w:t>Description</w:t>
            </w:r>
          </w:p>
        </w:tc>
        <w:tc>
          <w:tcPr>
            <w:tcW w:w="2233" w:type="pct"/>
            <w:vAlign w:val="center"/>
          </w:tcPr>
          <w:p w:rsidR="009D57CB" w:rsidRPr="00866F1C" w:rsidRDefault="00EB4304" w:rsidP="0060073E">
            <w:pPr>
              <w:keepNext/>
              <w:spacing w:after="0"/>
              <w:rPr>
                <w:b/>
              </w:rPr>
            </w:pPr>
            <w:r w:rsidRPr="00866F1C">
              <w:rPr>
                <w:b/>
              </w:rPr>
              <w:t>Application</w:t>
            </w:r>
          </w:p>
        </w:tc>
      </w:tr>
      <w:tr w:rsidR="009D57CB" w:rsidRPr="0047139A" w:rsidTr="0060073E">
        <w:trPr>
          <w:cantSplit/>
          <w:trHeight w:val="597"/>
        </w:trPr>
        <w:tc>
          <w:tcPr>
            <w:tcW w:w="535" w:type="pct"/>
            <w:vAlign w:val="center"/>
          </w:tcPr>
          <w:p w:rsidR="009D57CB" w:rsidRPr="0047139A" w:rsidRDefault="009D57CB" w:rsidP="0060073E">
            <w:pPr>
              <w:keepNext/>
              <w:spacing w:after="0"/>
            </w:pPr>
            <w:r w:rsidRPr="0047139A">
              <w:t>S1</w:t>
            </w:r>
          </w:p>
        </w:tc>
        <w:tc>
          <w:tcPr>
            <w:tcW w:w="2232" w:type="pct"/>
            <w:vAlign w:val="center"/>
          </w:tcPr>
          <w:p w:rsidR="009D57CB" w:rsidRPr="0047139A" w:rsidRDefault="009D57CB" w:rsidP="0060073E">
            <w:pPr>
              <w:keepNext/>
              <w:spacing w:after="0"/>
            </w:pPr>
            <w:r w:rsidRPr="0047139A">
              <w:t>Left rough to give key but not honeycombed or porous</w:t>
            </w:r>
          </w:p>
        </w:tc>
        <w:tc>
          <w:tcPr>
            <w:tcW w:w="2233" w:type="pct"/>
            <w:vAlign w:val="center"/>
          </w:tcPr>
          <w:p w:rsidR="009D57CB" w:rsidRPr="0047139A" w:rsidRDefault="009D57CB" w:rsidP="0060073E">
            <w:pPr>
              <w:keepNext/>
              <w:spacing w:after="0"/>
            </w:pPr>
            <w:r w:rsidRPr="0047139A">
              <w:t>Surfaces to be rendered.</w:t>
            </w:r>
          </w:p>
        </w:tc>
      </w:tr>
      <w:tr w:rsidR="009D57CB" w:rsidRPr="0047139A" w:rsidTr="0060073E">
        <w:trPr>
          <w:cantSplit/>
          <w:trHeight w:val="454"/>
        </w:trPr>
        <w:tc>
          <w:tcPr>
            <w:tcW w:w="535" w:type="pct"/>
            <w:vAlign w:val="center"/>
          </w:tcPr>
          <w:p w:rsidR="009D57CB" w:rsidRPr="0047139A" w:rsidRDefault="009D57CB" w:rsidP="0060073E">
            <w:pPr>
              <w:keepNext/>
              <w:spacing w:after="0"/>
            </w:pPr>
            <w:r w:rsidRPr="0047139A">
              <w:t>S2</w:t>
            </w:r>
          </w:p>
        </w:tc>
        <w:tc>
          <w:tcPr>
            <w:tcW w:w="2232" w:type="pct"/>
            <w:vAlign w:val="center"/>
          </w:tcPr>
          <w:p w:rsidR="009D57CB" w:rsidRPr="0047139A" w:rsidRDefault="009D57CB" w:rsidP="0060073E">
            <w:pPr>
              <w:keepNext/>
              <w:spacing w:after="0"/>
            </w:pPr>
            <w:r w:rsidRPr="0047139A">
              <w:t>Wood float</w:t>
            </w:r>
          </w:p>
        </w:tc>
        <w:tc>
          <w:tcPr>
            <w:tcW w:w="2233" w:type="pct"/>
            <w:vAlign w:val="center"/>
          </w:tcPr>
          <w:p w:rsidR="009D57CB" w:rsidRPr="0047139A" w:rsidRDefault="009D57CB" w:rsidP="0060073E">
            <w:pPr>
              <w:keepNext/>
              <w:spacing w:after="0"/>
            </w:pPr>
            <w:r w:rsidRPr="0047139A">
              <w:t>As specified.</w:t>
            </w:r>
          </w:p>
        </w:tc>
      </w:tr>
      <w:tr w:rsidR="009D57CB" w:rsidRPr="0047139A" w:rsidTr="0060073E">
        <w:trPr>
          <w:cantSplit/>
          <w:trHeight w:val="597"/>
        </w:trPr>
        <w:tc>
          <w:tcPr>
            <w:tcW w:w="535" w:type="pct"/>
            <w:vAlign w:val="center"/>
          </w:tcPr>
          <w:p w:rsidR="009D57CB" w:rsidRPr="0047139A" w:rsidRDefault="009D57CB" w:rsidP="0060073E">
            <w:pPr>
              <w:keepNext/>
              <w:spacing w:after="0"/>
            </w:pPr>
            <w:r w:rsidRPr="0047139A">
              <w:t>S3</w:t>
            </w:r>
          </w:p>
        </w:tc>
        <w:tc>
          <w:tcPr>
            <w:tcW w:w="2232" w:type="pct"/>
            <w:vAlign w:val="center"/>
          </w:tcPr>
          <w:p w:rsidR="009D57CB" w:rsidRPr="0047139A" w:rsidRDefault="009D57CB" w:rsidP="0060073E">
            <w:pPr>
              <w:keepNext/>
              <w:spacing w:after="0"/>
            </w:pPr>
            <w:r w:rsidRPr="0047139A">
              <w:t>Steel trowel without polish</w:t>
            </w:r>
          </w:p>
        </w:tc>
        <w:tc>
          <w:tcPr>
            <w:tcW w:w="2233" w:type="pct"/>
            <w:vAlign w:val="center"/>
          </w:tcPr>
          <w:p w:rsidR="009D57CB" w:rsidRPr="0047139A" w:rsidRDefault="009D57CB" w:rsidP="0060073E">
            <w:pPr>
              <w:keepNext/>
              <w:spacing w:after="0"/>
            </w:pPr>
            <w:r w:rsidRPr="0047139A">
              <w:t>Internal surfaces subject to foot traffic.  Kerb and gutter.</w:t>
            </w:r>
          </w:p>
        </w:tc>
      </w:tr>
      <w:tr w:rsidR="009D57CB" w:rsidRPr="0047139A" w:rsidTr="0060073E">
        <w:trPr>
          <w:cantSplit/>
          <w:trHeight w:val="597"/>
        </w:trPr>
        <w:tc>
          <w:tcPr>
            <w:tcW w:w="535" w:type="pct"/>
            <w:vAlign w:val="center"/>
          </w:tcPr>
          <w:p w:rsidR="009D57CB" w:rsidRPr="0047139A" w:rsidRDefault="009D57CB" w:rsidP="0060073E">
            <w:pPr>
              <w:keepNext/>
              <w:spacing w:after="0"/>
            </w:pPr>
            <w:r w:rsidRPr="0047139A">
              <w:t>S4</w:t>
            </w:r>
          </w:p>
        </w:tc>
        <w:tc>
          <w:tcPr>
            <w:tcW w:w="2232" w:type="pct"/>
            <w:vAlign w:val="center"/>
          </w:tcPr>
          <w:p w:rsidR="009D57CB" w:rsidRPr="0047139A" w:rsidRDefault="009D57CB" w:rsidP="0060073E">
            <w:pPr>
              <w:keepNext/>
              <w:spacing w:after="0"/>
            </w:pPr>
            <w:r w:rsidRPr="0047139A">
              <w:t>Wood float and broomed finish - broom finish - broom across direction of traffic</w:t>
            </w:r>
          </w:p>
        </w:tc>
        <w:tc>
          <w:tcPr>
            <w:tcW w:w="2233" w:type="pct"/>
            <w:vAlign w:val="center"/>
          </w:tcPr>
          <w:p w:rsidR="009D57CB" w:rsidRPr="0047139A" w:rsidRDefault="009D57CB" w:rsidP="0060073E">
            <w:pPr>
              <w:keepNext/>
              <w:spacing w:after="0"/>
            </w:pPr>
            <w:r w:rsidRPr="0047139A">
              <w:t>Surfaces subject to vehicular traffic.</w:t>
            </w:r>
          </w:p>
        </w:tc>
      </w:tr>
      <w:tr w:rsidR="009D57CB" w:rsidRPr="0047139A" w:rsidTr="0060073E">
        <w:trPr>
          <w:cantSplit/>
          <w:trHeight w:val="489"/>
        </w:trPr>
        <w:tc>
          <w:tcPr>
            <w:tcW w:w="535" w:type="pct"/>
            <w:vAlign w:val="center"/>
          </w:tcPr>
          <w:p w:rsidR="009D57CB" w:rsidRPr="0047139A" w:rsidRDefault="009D57CB" w:rsidP="0060073E">
            <w:pPr>
              <w:keepNext/>
              <w:spacing w:after="0"/>
            </w:pPr>
            <w:r w:rsidRPr="0047139A">
              <w:t>S6</w:t>
            </w:r>
          </w:p>
        </w:tc>
        <w:tc>
          <w:tcPr>
            <w:tcW w:w="2232" w:type="pct"/>
            <w:vAlign w:val="center"/>
          </w:tcPr>
          <w:p w:rsidR="009D57CB" w:rsidRPr="0047139A" w:rsidRDefault="009D57CB" w:rsidP="0060073E">
            <w:pPr>
              <w:keepNext/>
              <w:spacing w:after="0"/>
            </w:pPr>
            <w:r w:rsidRPr="0047139A">
              <w:t>Steel float followed by moist hair broom</w:t>
            </w:r>
          </w:p>
        </w:tc>
        <w:tc>
          <w:tcPr>
            <w:tcW w:w="2233" w:type="pct"/>
            <w:vAlign w:val="center"/>
          </w:tcPr>
          <w:p w:rsidR="009D57CB" w:rsidRPr="0047139A" w:rsidRDefault="009D57CB" w:rsidP="0060073E">
            <w:pPr>
              <w:keepNext/>
              <w:spacing w:after="0"/>
            </w:pPr>
            <w:r w:rsidRPr="0047139A">
              <w:t>Surfaces subject to foot traffic.</w:t>
            </w:r>
          </w:p>
        </w:tc>
      </w:tr>
      <w:tr w:rsidR="009D57CB" w:rsidRPr="0047139A" w:rsidTr="0060073E">
        <w:trPr>
          <w:cantSplit/>
          <w:trHeight w:val="915"/>
        </w:trPr>
        <w:tc>
          <w:tcPr>
            <w:tcW w:w="535" w:type="pct"/>
            <w:vAlign w:val="center"/>
          </w:tcPr>
          <w:p w:rsidR="009D57CB" w:rsidRPr="0047139A" w:rsidRDefault="009D57CB" w:rsidP="0060073E">
            <w:pPr>
              <w:keepNext/>
              <w:spacing w:after="0"/>
            </w:pPr>
            <w:r w:rsidRPr="0047139A">
              <w:t>F1</w:t>
            </w:r>
          </w:p>
        </w:tc>
        <w:tc>
          <w:tcPr>
            <w:tcW w:w="2232" w:type="pct"/>
            <w:vAlign w:val="center"/>
          </w:tcPr>
          <w:p w:rsidR="009D57CB" w:rsidRPr="0047139A" w:rsidRDefault="009D57CB" w:rsidP="0060073E">
            <w:pPr>
              <w:keepNext/>
              <w:spacing w:after="0"/>
            </w:pPr>
            <w:r w:rsidRPr="0047139A">
              <w:t>Remove mortar fins, etc., repair minor blow holes by bagging where approved or rub down with Carborundum stone</w:t>
            </w:r>
          </w:p>
        </w:tc>
        <w:tc>
          <w:tcPr>
            <w:tcW w:w="2233" w:type="pct"/>
            <w:vAlign w:val="center"/>
          </w:tcPr>
          <w:p w:rsidR="009D57CB" w:rsidRPr="0047139A" w:rsidRDefault="009D57CB" w:rsidP="0060073E">
            <w:pPr>
              <w:keepNext/>
              <w:spacing w:after="0"/>
            </w:pPr>
            <w:r w:rsidRPr="0047139A">
              <w:t>Formed surfaces exposed to view.</w:t>
            </w:r>
          </w:p>
        </w:tc>
      </w:tr>
      <w:tr w:rsidR="00603864" w:rsidRPr="0047139A" w:rsidTr="0060073E">
        <w:trPr>
          <w:cantSplit/>
          <w:trHeight w:val="490"/>
        </w:trPr>
        <w:tc>
          <w:tcPr>
            <w:tcW w:w="535" w:type="pct"/>
            <w:vAlign w:val="center"/>
          </w:tcPr>
          <w:p w:rsidR="00603864" w:rsidRPr="0047139A" w:rsidRDefault="00603864" w:rsidP="0060073E">
            <w:pPr>
              <w:keepNext/>
              <w:spacing w:after="0"/>
            </w:pPr>
            <w:r w:rsidRPr="0047139A">
              <w:t>F2</w:t>
            </w:r>
          </w:p>
        </w:tc>
        <w:tc>
          <w:tcPr>
            <w:tcW w:w="2232" w:type="pct"/>
            <w:vAlign w:val="center"/>
          </w:tcPr>
          <w:p w:rsidR="00603864" w:rsidRPr="0047139A" w:rsidRDefault="00603864" w:rsidP="0060073E">
            <w:pPr>
              <w:keepNext/>
              <w:spacing w:after="0"/>
            </w:pPr>
            <w:r w:rsidRPr="0047139A">
              <w:t>Off forms</w:t>
            </w:r>
          </w:p>
        </w:tc>
        <w:tc>
          <w:tcPr>
            <w:tcW w:w="2233" w:type="pct"/>
            <w:vAlign w:val="center"/>
          </w:tcPr>
          <w:p w:rsidR="00603864" w:rsidRPr="00BA42DF" w:rsidRDefault="00603864" w:rsidP="0060073E">
            <w:pPr>
              <w:keepNext/>
              <w:spacing w:after="0"/>
              <w:rPr>
                <w:color w:val="000000"/>
              </w:rPr>
            </w:pPr>
            <w:r>
              <w:rPr>
                <w:color w:val="000000"/>
              </w:rPr>
              <w:t>-</w:t>
            </w:r>
          </w:p>
        </w:tc>
      </w:tr>
      <w:tr w:rsidR="009D57CB" w:rsidRPr="0047139A" w:rsidTr="0060073E">
        <w:trPr>
          <w:cantSplit/>
          <w:trHeight w:val="2133"/>
        </w:trPr>
        <w:tc>
          <w:tcPr>
            <w:tcW w:w="535" w:type="pct"/>
            <w:vAlign w:val="center"/>
          </w:tcPr>
          <w:p w:rsidR="00294725" w:rsidRPr="0047139A" w:rsidRDefault="00294725" w:rsidP="005F0C05">
            <w:pPr>
              <w:spacing w:after="0"/>
            </w:pPr>
            <w:r>
              <w:t>F3</w:t>
            </w:r>
          </w:p>
        </w:tc>
        <w:tc>
          <w:tcPr>
            <w:tcW w:w="2232" w:type="pct"/>
            <w:vAlign w:val="center"/>
          </w:tcPr>
          <w:p w:rsidR="00294725" w:rsidRPr="0047139A" w:rsidRDefault="00294725" w:rsidP="005F0C05">
            <w:pPr>
              <w:spacing w:after="0"/>
            </w:pPr>
            <w:r>
              <w:t>Exposed RCG</w:t>
            </w:r>
          </w:p>
        </w:tc>
        <w:tc>
          <w:tcPr>
            <w:tcW w:w="2233" w:type="pct"/>
            <w:vAlign w:val="center"/>
          </w:tcPr>
          <w:p w:rsidR="00A27C1E" w:rsidRPr="00BA42DF" w:rsidRDefault="00A27C1E" w:rsidP="005F0C05">
            <w:pPr>
              <w:spacing w:after="0"/>
              <w:rPr>
                <w:color w:val="000000"/>
              </w:rPr>
            </w:pPr>
            <w:r w:rsidRPr="00BA42DF">
              <w:rPr>
                <w:color w:val="000000"/>
              </w:rPr>
              <w:t>Application of RCG to be hand spread once application of the exposed mix has been bull floated.</w:t>
            </w:r>
          </w:p>
          <w:p w:rsidR="00A27C1E" w:rsidRPr="00BA42DF" w:rsidRDefault="00A27C1E" w:rsidP="005F0C05">
            <w:pPr>
              <w:spacing w:after="0"/>
              <w:rPr>
                <w:color w:val="000000"/>
              </w:rPr>
            </w:pPr>
            <w:r w:rsidRPr="00BA42DF">
              <w:rPr>
                <w:color w:val="000000"/>
              </w:rPr>
              <w:t>RCG to be measured 1000 grams per square meter, or as otherwise specified by the Superintendent.</w:t>
            </w:r>
          </w:p>
          <w:p w:rsidR="00294725" w:rsidRPr="0047139A" w:rsidRDefault="00A27C1E" w:rsidP="005F0C05">
            <w:pPr>
              <w:spacing w:after="0"/>
            </w:pPr>
            <w:r w:rsidRPr="00BA42DF">
              <w:rPr>
                <w:color w:val="000000"/>
              </w:rPr>
              <w:t>Colour and size of RCG to be specified by Superintendent.</w:t>
            </w:r>
          </w:p>
        </w:tc>
      </w:tr>
    </w:tbl>
    <w:p w:rsidR="009D57CB" w:rsidRPr="0047139A" w:rsidRDefault="009D57CB">
      <w:pPr>
        <w:pStyle w:val="Heading3"/>
        <w:rPr>
          <w:lang w:val="en-AU"/>
        </w:rPr>
      </w:pPr>
      <w:r w:rsidRPr="0047139A">
        <w:rPr>
          <w:lang w:val="en-AU"/>
        </w:rPr>
        <w:t>Curing</w:t>
      </w:r>
    </w:p>
    <w:p w:rsidR="009D57CB" w:rsidRPr="0047139A" w:rsidRDefault="009D57CB" w:rsidP="00866F1C">
      <w:r w:rsidRPr="0047139A">
        <w:t>Protect and cure all exposed surfaces immediately after the concrete has taken its initial set.</w:t>
      </w:r>
    </w:p>
    <w:p w:rsidR="009D57CB" w:rsidRPr="0047139A" w:rsidRDefault="009D57CB" w:rsidP="0060073E">
      <w:pPr>
        <w:spacing w:after="0"/>
      </w:pPr>
      <w:r w:rsidRPr="0047139A">
        <w:t>Maintain all surfaces, including those within loosened formwork, in a moist condition by:</w:t>
      </w:r>
    </w:p>
    <w:p w:rsidR="009D57CB" w:rsidRPr="0047139A" w:rsidRDefault="00FA51AC" w:rsidP="0060073E">
      <w:pPr>
        <w:pStyle w:val="Bullet"/>
        <w:numPr>
          <w:ilvl w:val="0"/>
          <w:numId w:val="30"/>
        </w:numPr>
        <w:spacing w:after="0"/>
      </w:pPr>
      <w:r w:rsidRPr="0047139A">
        <w:t>F</w:t>
      </w:r>
      <w:r w:rsidR="009D57CB" w:rsidRPr="0047139A">
        <w:t>looding</w:t>
      </w:r>
      <w:r>
        <w:t>, or</w:t>
      </w:r>
    </w:p>
    <w:p w:rsidR="009D57CB" w:rsidRPr="0047139A" w:rsidRDefault="009D57CB" w:rsidP="0060073E">
      <w:pPr>
        <w:pStyle w:val="Bullet"/>
        <w:numPr>
          <w:ilvl w:val="0"/>
          <w:numId w:val="30"/>
        </w:numPr>
        <w:spacing w:after="0"/>
      </w:pPr>
      <w:r w:rsidRPr="0047139A">
        <w:t>continuous spraying with water</w:t>
      </w:r>
      <w:r w:rsidR="00FA51AC">
        <w:t>,</w:t>
      </w:r>
      <w:r w:rsidRPr="0047139A">
        <w:t xml:space="preserve"> or</w:t>
      </w:r>
    </w:p>
    <w:p w:rsidR="009D57CB" w:rsidRPr="0047139A" w:rsidRDefault="009D57CB" w:rsidP="0060073E">
      <w:pPr>
        <w:pStyle w:val="Bullet"/>
        <w:numPr>
          <w:ilvl w:val="0"/>
          <w:numId w:val="30"/>
        </w:numPr>
      </w:pPr>
      <w:proofErr w:type="gramStart"/>
      <w:r w:rsidRPr="0047139A">
        <w:t>other</w:t>
      </w:r>
      <w:proofErr w:type="gramEnd"/>
      <w:r w:rsidRPr="0047139A">
        <w:t xml:space="preserve"> methods approved by the Superintendent.</w:t>
      </w:r>
    </w:p>
    <w:p w:rsidR="009D57CB" w:rsidRPr="0047139A" w:rsidRDefault="009D57CB" w:rsidP="00866F1C">
      <w:r w:rsidRPr="0047139A">
        <w:t>Prevent staining during the curing process of all concrete surfaces that will be visible in the completed works.</w:t>
      </w:r>
    </w:p>
    <w:p w:rsidR="009D57CB" w:rsidRPr="0047139A" w:rsidRDefault="009D57CB" w:rsidP="00866F1C">
      <w:r w:rsidRPr="0047139A">
        <w:t>Continuously maintain the protection and curing of each element for the minimum time specified by AS 3600 to provide the concrete with durability corresponding to the specified exposure classification.</w:t>
      </w:r>
    </w:p>
    <w:p w:rsidR="009D57CB" w:rsidRPr="0047139A" w:rsidRDefault="009D57CB" w:rsidP="00866F1C">
      <w:r w:rsidRPr="0047139A">
        <w:t>Do not use curing compounds in lieu of moist curing unless approved.</w:t>
      </w:r>
    </w:p>
    <w:p w:rsidR="009D57CB" w:rsidRPr="0047139A" w:rsidRDefault="009D57CB">
      <w:pPr>
        <w:pStyle w:val="Heading3"/>
        <w:rPr>
          <w:lang w:val="en-AU"/>
        </w:rPr>
      </w:pPr>
      <w:bookmarkStart w:id="69" w:name="_Toc390823695"/>
      <w:bookmarkStart w:id="70" w:name="_Toc391429387"/>
      <w:bookmarkStart w:id="71" w:name="_Toc396035065"/>
      <w:bookmarkStart w:id="72" w:name="_Toc398800456"/>
      <w:r w:rsidRPr="0047139A">
        <w:rPr>
          <w:lang w:val="en-AU"/>
        </w:rPr>
        <w:lastRenderedPageBreak/>
        <w:t>Backfilling</w:t>
      </w:r>
      <w:bookmarkEnd w:id="69"/>
      <w:bookmarkEnd w:id="70"/>
      <w:bookmarkEnd w:id="71"/>
      <w:bookmarkEnd w:id="72"/>
    </w:p>
    <w:p w:rsidR="009D57CB" w:rsidRPr="0047139A" w:rsidRDefault="009D57CB" w:rsidP="00866F1C">
      <w:r w:rsidRPr="0047139A">
        <w:t>Backfill areas around the concrete with specified material.</w:t>
      </w:r>
    </w:p>
    <w:p w:rsidR="009D57CB" w:rsidRPr="0047139A" w:rsidRDefault="009D57CB">
      <w:pPr>
        <w:pStyle w:val="guidenotes"/>
        <w:rPr>
          <w:lang w:val="en-AU"/>
        </w:rPr>
      </w:pPr>
      <w:r w:rsidRPr="0047139A">
        <w:rPr>
          <w:lang w:val="en-AU"/>
        </w:rPr>
        <w:t>[Select fill may be specified]</w:t>
      </w:r>
    </w:p>
    <w:p w:rsidR="009D57CB" w:rsidRPr="0047139A" w:rsidRDefault="009D57CB" w:rsidP="00866F1C">
      <w:r w:rsidRPr="0047139A">
        <w:t>Compact the backfilling in layers not exceeding 150 mm compacted thickness.</w:t>
      </w:r>
    </w:p>
    <w:p w:rsidR="009D57CB" w:rsidRPr="0047139A" w:rsidRDefault="009D57CB" w:rsidP="00866F1C">
      <w:r w:rsidRPr="0047139A">
        <w:t>Reinstate damaged grassed areas with topsoil and grass seed.</w:t>
      </w:r>
    </w:p>
    <w:p w:rsidR="009D57CB" w:rsidRPr="0047139A" w:rsidRDefault="009D57CB">
      <w:pPr>
        <w:pStyle w:val="Heading2"/>
        <w:rPr>
          <w:lang w:val="en-AU"/>
        </w:rPr>
      </w:pPr>
      <w:bookmarkStart w:id="73" w:name="_Toc390823696"/>
      <w:bookmarkStart w:id="74" w:name="_Toc391429388"/>
      <w:bookmarkStart w:id="75" w:name="_Toc396035066"/>
      <w:bookmarkStart w:id="76" w:name="_Toc398800457"/>
      <w:r w:rsidRPr="0047139A">
        <w:rPr>
          <w:lang w:val="en-AU"/>
        </w:rPr>
        <w:t>Rain Damage</w:t>
      </w:r>
      <w:bookmarkEnd w:id="73"/>
      <w:bookmarkEnd w:id="74"/>
      <w:bookmarkEnd w:id="75"/>
      <w:bookmarkEnd w:id="76"/>
    </w:p>
    <w:p w:rsidR="009D57CB" w:rsidRPr="0047139A" w:rsidRDefault="009D57CB" w:rsidP="00866F1C">
      <w:r w:rsidRPr="0047139A">
        <w:t>Remove and replace rain damaged concrete.</w:t>
      </w:r>
    </w:p>
    <w:p w:rsidR="009D57CB" w:rsidRPr="0047139A" w:rsidRDefault="009D57CB">
      <w:pPr>
        <w:pStyle w:val="Heading2"/>
        <w:rPr>
          <w:lang w:val="en-AU"/>
        </w:rPr>
      </w:pPr>
      <w:bookmarkStart w:id="77" w:name="_Toc390823697"/>
      <w:bookmarkStart w:id="78" w:name="_Toc391429389"/>
      <w:bookmarkStart w:id="79" w:name="_Toc396035067"/>
      <w:bookmarkStart w:id="80" w:name="_Toc398800458"/>
      <w:r w:rsidRPr="0047139A">
        <w:rPr>
          <w:lang w:val="en-AU"/>
        </w:rPr>
        <w:t xml:space="preserve">Existing Services </w:t>
      </w:r>
      <w:r w:rsidR="00A20292">
        <w:rPr>
          <w:lang w:val="en-AU"/>
        </w:rPr>
        <w:t>–</w:t>
      </w:r>
      <w:r w:rsidRPr="0047139A">
        <w:rPr>
          <w:lang w:val="en-AU"/>
        </w:rPr>
        <w:t xml:space="preserve"> </w:t>
      </w:r>
      <w:bookmarkEnd w:id="77"/>
      <w:bookmarkEnd w:id="78"/>
      <w:bookmarkEnd w:id="79"/>
      <w:bookmarkEnd w:id="80"/>
      <w:r w:rsidR="00A20292">
        <w:rPr>
          <w:lang w:val="en-AU"/>
        </w:rPr>
        <w:t>hold point</w:t>
      </w:r>
    </w:p>
    <w:p w:rsidR="009D57CB" w:rsidRPr="0047139A" w:rsidRDefault="00A20292" w:rsidP="00866F1C">
      <w:r w:rsidRPr="00EB4304">
        <w:rPr>
          <w:b/>
        </w:rPr>
        <w:t>Hold point</w:t>
      </w:r>
      <w:r w:rsidR="009D57CB" w:rsidRPr="0047139A">
        <w:t xml:space="preserve"> - Obtain the Superintendent's approval before altering the line or level of existing services.</w:t>
      </w:r>
    </w:p>
    <w:p w:rsidR="009D57CB" w:rsidRPr="0047139A" w:rsidRDefault="009D57CB" w:rsidP="00866F1C">
      <w:r w:rsidRPr="0047139A">
        <w:t>Place an expansion joint between concrete works and service.</w:t>
      </w:r>
    </w:p>
    <w:p w:rsidR="009D57CB" w:rsidRPr="0047139A" w:rsidRDefault="009D57CB">
      <w:pPr>
        <w:pStyle w:val="Heading2"/>
        <w:rPr>
          <w:lang w:val="en-AU"/>
        </w:rPr>
      </w:pPr>
      <w:bookmarkStart w:id="81" w:name="_Toc390823698"/>
      <w:bookmarkStart w:id="82" w:name="_Toc391429390"/>
      <w:bookmarkStart w:id="83" w:name="_Toc396035068"/>
      <w:bookmarkStart w:id="84" w:name="_Toc398800459"/>
      <w:r w:rsidRPr="0047139A">
        <w:rPr>
          <w:lang w:val="en-AU"/>
        </w:rPr>
        <w:t>Conformance</w:t>
      </w:r>
      <w:bookmarkEnd w:id="81"/>
      <w:bookmarkEnd w:id="82"/>
      <w:bookmarkEnd w:id="83"/>
      <w:bookmarkEnd w:id="84"/>
    </w:p>
    <w:p w:rsidR="009D57CB" w:rsidRPr="0047139A" w:rsidRDefault="009D57CB" w:rsidP="00866F1C">
      <w:pPr>
        <w:tabs>
          <w:tab w:val="left" w:pos="3402"/>
        </w:tabs>
      </w:pPr>
      <w:r w:rsidRPr="0047139A">
        <w:t>Refer to the DRAINAGE WORKS Section for culvert structures and pits.</w:t>
      </w:r>
    </w:p>
    <w:p w:rsidR="009D57CB" w:rsidRDefault="009D57CB" w:rsidP="00866F1C">
      <w:pPr>
        <w:tabs>
          <w:tab w:val="left" w:pos="3402"/>
        </w:tabs>
      </w:pPr>
      <w:r w:rsidRPr="0047139A">
        <w:t>Conform to the following:</w:t>
      </w:r>
    </w:p>
    <w:tbl>
      <w:tblPr>
        <w:tblStyle w:val="TableGrid"/>
        <w:tblW w:w="9565" w:type="dxa"/>
        <w:tblLook w:val="04A0" w:firstRow="1" w:lastRow="0" w:firstColumn="1" w:lastColumn="0" w:noHBand="0" w:noVBand="1"/>
      </w:tblPr>
      <w:tblGrid>
        <w:gridCol w:w="4782"/>
        <w:gridCol w:w="4783"/>
      </w:tblGrid>
      <w:tr w:rsidR="00D92466" w:rsidTr="0060073E">
        <w:trPr>
          <w:trHeight w:val="359"/>
        </w:trPr>
        <w:tc>
          <w:tcPr>
            <w:tcW w:w="9565" w:type="dxa"/>
            <w:gridSpan w:val="2"/>
            <w:vAlign w:val="center"/>
          </w:tcPr>
          <w:p w:rsidR="00D92466" w:rsidRPr="0060073E" w:rsidRDefault="002F312C" w:rsidP="0060073E">
            <w:pPr>
              <w:tabs>
                <w:tab w:val="left" w:pos="3402"/>
              </w:tabs>
              <w:spacing w:after="0"/>
              <w:rPr>
                <w:b/>
              </w:rPr>
            </w:pPr>
            <w:r w:rsidRPr="0060073E">
              <w:rPr>
                <w:b/>
              </w:rPr>
              <w:t>Table – Tolerances for Miscellaneous Concrete Works</w:t>
            </w:r>
          </w:p>
        </w:tc>
      </w:tr>
      <w:tr w:rsidR="00D92466" w:rsidTr="0060073E">
        <w:trPr>
          <w:trHeight w:val="359"/>
        </w:trPr>
        <w:tc>
          <w:tcPr>
            <w:tcW w:w="4782" w:type="dxa"/>
            <w:vAlign w:val="center"/>
          </w:tcPr>
          <w:p w:rsidR="00D92466" w:rsidRPr="0060073E" w:rsidRDefault="002F312C" w:rsidP="0060073E">
            <w:pPr>
              <w:tabs>
                <w:tab w:val="left" w:pos="3402"/>
              </w:tabs>
              <w:spacing w:after="0"/>
              <w:rPr>
                <w:b/>
              </w:rPr>
            </w:pPr>
            <w:r>
              <w:rPr>
                <w:b/>
              </w:rPr>
              <w:t>Aspect measured</w:t>
            </w:r>
          </w:p>
        </w:tc>
        <w:tc>
          <w:tcPr>
            <w:tcW w:w="4783" w:type="dxa"/>
            <w:vAlign w:val="center"/>
          </w:tcPr>
          <w:p w:rsidR="00D92466" w:rsidRPr="0060073E" w:rsidRDefault="002F312C" w:rsidP="0060073E">
            <w:pPr>
              <w:tabs>
                <w:tab w:val="left" w:pos="3402"/>
              </w:tabs>
              <w:spacing w:after="0"/>
              <w:rPr>
                <w:b/>
              </w:rPr>
            </w:pPr>
            <w:r w:rsidRPr="0060073E">
              <w:rPr>
                <w:b/>
              </w:rPr>
              <w:t>Tolerance</w:t>
            </w:r>
          </w:p>
        </w:tc>
      </w:tr>
      <w:tr w:rsidR="00D92466" w:rsidTr="0060073E">
        <w:trPr>
          <w:trHeight w:val="338"/>
        </w:trPr>
        <w:tc>
          <w:tcPr>
            <w:tcW w:w="4782" w:type="dxa"/>
            <w:vAlign w:val="center"/>
          </w:tcPr>
          <w:p w:rsidR="00D92466" w:rsidRDefault="002F312C" w:rsidP="0060073E">
            <w:pPr>
              <w:tabs>
                <w:tab w:val="left" w:pos="3402"/>
              </w:tabs>
              <w:spacing w:after="0"/>
            </w:pPr>
            <w:r w:rsidRPr="0047139A">
              <w:t>Finished level</w:t>
            </w:r>
          </w:p>
        </w:tc>
        <w:tc>
          <w:tcPr>
            <w:tcW w:w="4783" w:type="dxa"/>
            <w:vAlign w:val="center"/>
          </w:tcPr>
          <w:p w:rsidR="00D92466" w:rsidRDefault="002F312C" w:rsidP="0060073E">
            <w:pPr>
              <w:tabs>
                <w:tab w:val="left" w:pos="3402"/>
              </w:tabs>
              <w:spacing w:after="0"/>
            </w:pPr>
            <w:r w:rsidRPr="0047139A">
              <w:t>+ or -15 mm from the specified level</w:t>
            </w:r>
          </w:p>
        </w:tc>
      </w:tr>
      <w:tr w:rsidR="00D92466" w:rsidTr="0060073E">
        <w:trPr>
          <w:trHeight w:val="359"/>
        </w:trPr>
        <w:tc>
          <w:tcPr>
            <w:tcW w:w="4782" w:type="dxa"/>
            <w:vAlign w:val="center"/>
          </w:tcPr>
          <w:p w:rsidR="00D92466" w:rsidRDefault="002F312C" w:rsidP="0060073E">
            <w:pPr>
              <w:tabs>
                <w:tab w:val="left" w:pos="3402"/>
              </w:tabs>
              <w:spacing w:after="0"/>
            </w:pPr>
            <w:r w:rsidRPr="0047139A">
              <w:t>Invert level</w:t>
            </w:r>
          </w:p>
        </w:tc>
        <w:tc>
          <w:tcPr>
            <w:tcW w:w="4783" w:type="dxa"/>
            <w:vAlign w:val="center"/>
          </w:tcPr>
          <w:p w:rsidR="00D92466" w:rsidRDefault="002F312C" w:rsidP="0060073E">
            <w:pPr>
              <w:tabs>
                <w:tab w:val="left" w:pos="3402"/>
              </w:tabs>
              <w:spacing w:after="0"/>
            </w:pPr>
            <w:r w:rsidRPr="0047139A">
              <w:t>+ or -5 mm from the specified level</w:t>
            </w:r>
          </w:p>
        </w:tc>
      </w:tr>
      <w:tr w:rsidR="002F312C" w:rsidTr="002F312C">
        <w:trPr>
          <w:trHeight w:val="338"/>
        </w:trPr>
        <w:tc>
          <w:tcPr>
            <w:tcW w:w="4782" w:type="dxa"/>
            <w:vMerge w:val="restart"/>
            <w:vAlign w:val="center"/>
          </w:tcPr>
          <w:p w:rsidR="002F312C" w:rsidRDefault="002F312C" w:rsidP="0060073E">
            <w:pPr>
              <w:tabs>
                <w:tab w:val="left" w:pos="3402"/>
              </w:tabs>
              <w:spacing w:after="0"/>
            </w:pPr>
            <w:r w:rsidRPr="0047139A">
              <w:t>Straight edge deviation</w:t>
            </w:r>
            <w:r>
              <w:t xml:space="preserve"> </w:t>
            </w:r>
            <w:r w:rsidRPr="0047139A">
              <w:t>of surface</w:t>
            </w:r>
          </w:p>
        </w:tc>
        <w:tc>
          <w:tcPr>
            <w:tcW w:w="4783" w:type="dxa"/>
            <w:vAlign w:val="center"/>
          </w:tcPr>
          <w:p w:rsidR="002F312C" w:rsidRDefault="002F312C" w:rsidP="0060073E">
            <w:pPr>
              <w:tabs>
                <w:tab w:val="left" w:pos="3402"/>
              </w:tabs>
              <w:spacing w:after="0"/>
            </w:pPr>
            <w:r w:rsidRPr="0047139A">
              <w:t>3 mm maximum in 3 m</w:t>
            </w:r>
          </w:p>
        </w:tc>
      </w:tr>
      <w:tr w:rsidR="002F312C" w:rsidTr="002F312C">
        <w:trPr>
          <w:trHeight w:val="359"/>
        </w:trPr>
        <w:tc>
          <w:tcPr>
            <w:tcW w:w="4782" w:type="dxa"/>
            <w:vMerge/>
            <w:vAlign w:val="center"/>
          </w:tcPr>
          <w:p w:rsidR="002F312C" w:rsidRDefault="002F312C" w:rsidP="0060073E">
            <w:pPr>
              <w:tabs>
                <w:tab w:val="left" w:pos="3402"/>
              </w:tabs>
              <w:spacing w:after="0"/>
            </w:pPr>
          </w:p>
        </w:tc>
        <w:tc>
          <w:tcPr>
            <w:tcW w:w="4783" w:type="dxa"/>
            <w:vAlign w:val="center"/>
          </w:tcPr>
          <w:p w:rsidR="002F312C" w:rsidRDefault="002F312C" w:rsidP="0060073E">
            <w:pPr>
              <w:tabs>
                <w:tab w:val="left" w:pos="3402"/>
              </w:tabs>
              <w:spacing w:after="0"/>
            </w:pPr>
            <w:r w:rsidRPr="0047139A">
              <w:t>6 mm maximum in 15 m</w:t>
            </w:r>
          </w:p>
        </w:tc>
      </w:tr>
      <w:tr w:rsidR="00D92466" w:rsidTr="0060073E">
        <w:trPr>
          <w:trHeight w:val="338"/>
        </w:trPr>
        <w:tc>
          <w:tcPr>
            <w:tcW w:w="4782" w:type="dxa"/>
            <w:vAlign w:val="center"/>
          </w:tcPr>
          <w:p w:rsidR="00D92466" w:rsidRDefault="002F312C" w:rsidP="0060073E">
            <w:pPr>
              <w:tabs>
                <w:tab w:val="left" w:pos="3402"/>
              </w:tabs>
              <w:spacing w:after="0"/>
            </w:pPr>
            <w:r w:rsidRPr="0047139A">
              <w:t>Alignment</w:t>
            </w:r>
          </w:p>
        </w:tc>
        <w:tc>
          <w:tcPr>
            <w:tcW w:w="4783" w:type="dxa"/>
            <w:vAlign w:val="center"/>
          </w:tcPr>
          <w:p w:rsidR="00D92466" w:rsidRDefault="002F312C" w:rsidP="0060073E">
            <w:pPr>
              <w:tabs>
                <w:tab w:val="left" w:pos="3402"/>
              </w:tabs>
              <w:spacing w:after="0"/>
            </w:pPr>
            <w:r w:rsidRPr="0047139A">
              <w:t>+ or -10 mm from the specified alignment</w:t>
            </w:r>
          </w:p>
        </w:tc>
      </w:tr>
      <w:tr w:rsidR="00D92466" w:rsidTr="0060073E">
        <w:trPr>
          <w:trHeight w:val="359"/>
        </w:trPr>
        <w:tc>
          <w:tcPr>
            <w:tcW w:w="4782" w:type="dxa"/>
            <w:vAlign w:val="center"/>
          </w:tcPr>
          <w:p w:rsidR="00D92466" w:rsidRDefault="002F312C" w:rsidP="0060073E">
            <w:pPr>
              <w:tabs>
                <w:tab w:val="left" w:pos="3402"/>
              </w:tabs>
              <w:spacing w:after="0"/>
            </w:pPr>
            <w:r w:rsidRPr="0047139A">
              <w:t>Chainage at vehicle crossing</w:t>
            </w:r>
          </w:p>
        </w:tc>
        <w:tc>
          <w:tcPr>
            <w:tcW w:w="4783" w:type="dxa"/>
            <w:vAlign w:val="center"/>
          </w:tcPr>
          <w:p w:rsidR="00D92466" w:rsidRDefault="002F312C" w:rsidP="0060073E">
            <w:pPr>
              <w:tabs>
                <w:tab w:val="left" w:pos="3402"/>
              </w:tabs>
              <w:spacing w:after="0"/>
            </w:pPr>
            <w:r w:rsidRPr="0047139A">
              <w:t>+ or -150 mm</w:t>
            </w:r>
          </w:p>
        </w:tc>
      </w:tr>
      <w:tr w:rsidR="002F312C" w:rsidTr="0060073E">
        <w:trPr>
          <w:trHeight w:val="359"/>
        </w:trPr>
        <w:tc>
          <w:tcPr>
            <w:tcW w:w="4782" w:type="dxa"/>
            <w:vAlign w:val="center"/>
          </w:tcPr>
          <w:p w:rsidR="002F312C" w:rsidRPr="0047139A" w:rsidRDefault="002F312C" w:rsidP="002F312C">
            <w:pPr>
              <w:tabs>
                <w:tab w:val="left" w:pos="3402"/>
              </w:tabs>
              <w:spacing w:after="0"/>
            </w:pPr>
            <w:r w:rsidRPr="0047139A">
              <w:t>Width of vehicle crossing</w:t>
            </w:r>
          </w:p>
        </w:tc>
        <w:tc>
          <w:tcPr>
            <w:tcW w:w="4783" w:type="dxa"/>
            <w:vAlign w:val="center"/>
          </w:tcPr>
          <w:p w:rsidR="002F312C" w:rsidRDefault="002F312C" w:rsidP="002F312C">
            <w:pPr>
              <w:tabs>
                <w:tab w:val="left" w:pos="3402"/>
              </w:tabs>
              <w:spacing w:after="0"/>
            </w:pPr>
            <w:r w:rsidRPr="0047139A">
              <w:t>+ or -25 mm</w:t>
            </w:r>
          </w:p>
        </w:tc>
      </w:tr>
    </w:tbl>
    <w:p w:rsidR="00D92466" w:rsidRPr="0047139A" w:rsidRDefault="00D92466" w:rsidP="00866F1C">
      <w:pPr>
        <w:tabs>
          <w:tab w:val="left" w:pos="3402"/>
        </w:tabs>
      </w:pPr>
    </w:p>
    <w:p w:rsidR="009D57CB" w:rsidRPr="0047139A" w:rsidRDefault="009D57CB">
      <w:pPr>
        <w:pStyle w:val="Heading2"/>
        <w:rPr>
          <w:lang w:val="en-AU"/>
        </w:rPr>
      </w:pPr>
      <w:r w:rsidRPr="0047139A">
        <w:rPr>
          <w:lang w:val="en-AU"/>
        </w:rPr>
        <w:t>Defective Concrete And Materials</w:t>
      </w:r>
    </w:p>
    <w:p w:rsidR="009D57CB" w:rsidRPr="0047139A" w:rsidRDefault="009D57CB" w:rsidP="00866F1C">
      <w:r w:rsidRPr="0047139A">
        <w:t>Concrete which is not placed, cured or finished as specified, does not have the specified strength or other specified properties, is not sound, dense, durable or crack</w:t>
      </w:r>
      <w:r w:rsidRPr="0047139A">
        <w:noBreakHyphen/>
        <w:t>free will be considered defective.</w:t>
      </w:r>
    </w:p>
    <w:p w:rsidR="009D57CB" w:rsidRPr="0047139A" w:rsidRDefault="009D57CB" w:rsidP="00866F1C">
      <w:r w:rsidRPr="0047139A">
        <w:t>Bear all cost and delays resulting from the rejection of concrete and subsequent rectification.</w:t>
      </w:r>
    </w:p>
    <w:p w:rsidR="009D57CB" w:rsidRPr="0047139A" w:rsidRDefault="009D57CB" w:rsidP="00866F1C">
      <w:r w:rsidRPr="0047139A">
        <w:t>Remove the concrete to a point agreed with the Superintendent at which a visually and structurally acceptable construction joint can be made, and the defective element rebuilt.</w:t>
      </w:r>
    </w:p>
    <w:p w:rsidR="009D57CB" w:rsidRDefault="009D57CB" w:rsidP="00866F1C">
      <w:r w:rsidRPr="0047139A">
        <w:t xml:space="preserve">Repair defective surface finishes if approved by the Superintendent.  Approval will not be given if the defective area is too extensive or the techniques proposed are not adequate to ensure a </w:t>
      </w:r>
      <w:r w:rsidRPr="0047139A">
        <w:lastRenderedPageBreak/>
        <w:t>visually acceptable and durable repair.</w:t>
      </w:r>
    </w:p>
    <w:p w:rsidR="00FA51AC" w:rsidRPr="0047139A" w:rsidRDefault="00FA51AC" w:rsidP="00866F1C"/>
    <w:sectPr w:rsidR="00FA51AC" w:rsidRPr="0047139A">
      <w:headerReference w:type="even" r:id="rId10"/>
      <w:headerReference w:type="default" r:id="rId11"/>
      <w:footerReference w:type="even" r:id="rId12"/>
      <w:footerReference w:type="default" r:id="rId13"/>
      <w:headerReference w:type="first" r:id="rId14"/>
      <w:footerReference w:type="first" r:id="rId15"/>
      <w:pgSz w:w="11907" w:h="16834" w:code="9"/>
      <w:pgMar w:top="1440" w:right="1151" w:bottom="1440" w:left="1151" w:header="720" w:footer="720" w:gutter="30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2913" w:rsidRDefault="00BA2913">
      <w:r>
        <w:separator/>
      </w:r>
    </w:p>
  </w:endnote>
  <w:endnote w:type="continuationSeparator" w:id="0">
    <w:p w:rsidR="00BA2913" w:rsidRDefault="00BA2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Lato Black">
    <w:panose1 w:val="020F0502020204030203"/>
    <w:charset w:val="00"/>
    <w:family w:val="swiss"/>
    <w:pitch w:val="variable"/>
    <w:sig w:usb0="E10002FF" w:usb1="5000ECFF" w:usb2="00000021" w:usb3="00000000" w:csb0="0000019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DD0" w:rsidRDefault="00977DD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377D" w:rsidRPr="00701DA1" w:rsidRDefault="005D377D" w:rsidP="00701DA1">
    <w:pPr>
      <w:pStyle w:val="Header"/>
      <w:spacing w:after="0"/>
      <w:rPr>
        <w:vanish/>
        <w:color w:val="FF0000"/>
        <w:sz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DD0" w:rsidRDefault="00977D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2913" w:rsidRDefault="00BA2913">
      <w:r>
        <w:separator/>
      </w:r>
    </w:p>
  </w:footnote>
  <w:footnote w:type="continuationSeparator" w:id="0">
    <w:p w:rsidR="00BA2913" w:rsidRDefault="00BA29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F88" w:rsidRDefault="00B46F88">
    <w:pPr>
      <w:pStyle w:val="Header"/>
      <w:pBdr>
        <w:bottom w:val="single" w:sz="4" w:space="1" w:color="auto"/>
      </w:pBdr>
    </w:pPr>
    <w:r>
      <w:t>MISCELLANEOUS CONCRETE WORKS</w:t>
    </w:r>
    <w:r>
      <w:rPr>
        <w:rStyle w:val="masterspecversion"/>
      </w:rPr>
      <w:t xml:space="preserve"> &lt;&lt;DIPE Roadworks Master – Dec 2001&gt;&gt;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F88" w:rsidRPr="00701DA1" w:rsidRDefault="00B46F88" w:rsidP="00701DA1">
    <w:pPr>
      <w:pStyle w:val="Header"/>
      <w:spacing w:after="0"/>
      <w:rPr>
        <w:vanish/>
        <w:color w:val="FF0000"/>
        <w:sz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DD0" w:rsidRDefault="00977D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89D420D6"/>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FFFFFF89"/>
    <w:multiLevelType w:val="singleLevel"/>
    <w:tmpl w:val="D85A9EDC"/>
    <w:lvl w:ilvl="0">
      <w:start w:val="1"/>
      <w:numFmt w:val="bullet"/>
      <w:pStyle w:val="ListBullet"/>
      <w:lvlText w:val=""/>
      <w:lvlJc w:val="left"/>
      <w:pPr>
        <w:tabs>
          <w:tab w:val="num" w:pos="360"/>
        </w:tabs>
        <w:ind w:left="360" w:hanging="360"/>
      </w:pPr>
      <w:rPr>
        <w:rFonts w:ascii="Symbol" w:hAnsi="Symbol" w:hint="default"/>
        <w:sz w:val="28"/>
      </w:rPr>
    </w:lvl>
  </w:abstractNum>
  <w:abstractNum w:abstractNumId="2" w15:restartNumberingAfterBreak="0">
    <w:nsid w:val="FFFFFFFB"/>
    <w:multiLevelType w:val="multilevel"/>
    <w:tmpl w:val="81647DA0"/>
    <w:lvl w:ilvl="0">
      <w:start w:val="11"/>
      <w:numFmt w:val="decimal"/>
      <w:lvlText w:val="%1."/>
      <w:lvlJc w:val="left"/>
      <w:pPr>
        <w:tabs>
          <w:tab w:val="num" w:pos="36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29F03D52"/>
    <w:lvl w:ilvl="0">
      <w:numFmt w:val="decimal"/>
      <w:pStyle w:val="IndentBH"/>
      <w:lvlText w:val="*"/>
      <w:lvlJc w:val="left"/>
    </w:lvl>
  </w:abstractNum>
  <w:abstractNum w:abstractNumId="4" w15:restartNumberingAfterBreak="0">
    <w:nsid w:val="01FD69FE"/>
    <w:multiLevelType w:val="multilevel"/>
    <w:tmpl w:val="561CD30E"/>
    <w:styleLink w:val="StyleBulletedSymbolsymbolLeft063cmHanging063cm"/>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01413EB"/>
    <w:multiLevelType w:val="multilevel"/>
    <w:tmpl w:val="C876F382"/>
    <w:lvl w:ilvl="0">
      <w:start w:val="1"/>
      <w:numFmt w:val="bullet"/>
      <w:lvlText w:val=""/>
      <w:lvlJc w:val="left"/>
      <w:pPr>
        <w:ind w:left="644" w:hanging="360"/>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abstractNum w:abstractNumId="6" w15:restartNumberingAfterBreak="0">
    <w:nsid w:val="1A457FE3"/>
    <w:multiLevelType w:val="hybridMultilevel"/>
    <w:tmpl w:val="DE388404"/>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3AA6FB5"/>
    <w:multiLevelType w:val="singleLevel"/>
    <w:tmpl w:val="8DA0C186"/>
    <w:lvl w:ilvl="0">
      <w:start w:val="1"/>
      <w:numFmt w:val="lowerLetter"/>
      <w:lvlText w:val="%1)"/>
      <w:legacy w:legacy="1" w:legacySpace="0" w:legacyIndent="720"/>
      <w:lvlJc w:val="left"/>
      <w:pPr>
        <w:ind w:left="1440" w:hanging="720"/>
      </w:pPr>
    </w:lvl>
  </w:abstractNum>
  <w:abstractNum w:abstractNumId="8" w15:restartNumberingAfterBreak="0">
    <w:nsid w:val="2C7368E6"/>
    <w:multiLevelType w:val="multilevel"/>
    <w:tmpl w:val="3710C4E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15:restartNumberingAfterBreak="0">
    <w:nsid w:val="37A16396"/>
    <w:multiLevelType w:val="multilevel"/>
    <w:tmpl w:val="0D362460"/>
    <w:lvl w:ilvl="0">
      <w:numFmt w:val="bullet"/>
      <w:pStyle w:val="Bullet"/>
      <w:lvlText w:val=""/>
      <w:lvlJc w:val="left"/>
      <w:pPr>
        <w:ind w:left="644" w:hanging="360"/>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abstractNum w:abstractNumId="10" w15:restartNumberingAfterBreak="0">
    <w:nsid w:val="40DB42AB"/>
    <w:multiLevelType w:val="hybridMultilevel"/>
    <w:tmpl w:val="A08453A6"/>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20527A"/>
    <w:multiLevelType w:val="hybridMultilevel"/>
    <w:tmpl w:val="A74A5380"/>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D2E7145"/>
    <w:multiLevelType w:val="singleLevel"/>
    <w:tmpl w:val="8DA0C186"/>
    <w:lvl w:ilvl="0">
      <w:start w:val="1"/>
      <w:numFmt w:val="lowerLetter"/>
      <w:lvlText w:val="%1)"/>
      <w:legacy w:legacy="1" w:legacySpace="0" w:legacyIndent="720"/>
      <w:lvlJc w:val="left"/>
      <w:pPr>
        <w:ind w:left="1440" w:hanging="720"/>
      </w:pPr>
    </w:lvl>
  </w:abstractNum>
  <w:abstractNum w:abstractNumId="13" w15:restartNumberingAfterBreak="0">
    <w:nsid w:val="5D7646C4"/>
    <w:multiLevelType w:val="multilevel"/>
    <w:tmpl w:val="202A4C54"/>
    <w:lvl w:ilvl="0">
      <w:start w:val="1"/>
      <w:numFmt w:val="bullet"/>
      <w:lvlText w:val=""/>
      <w:lvlJc w:val="left"/>
      <w:pPr>
        <w:ind w:left="644" w:hanging="360"/>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abstractNum w:abstractNumId="14" w15:restartNumberingAfterBreak="0">
    <w:nsid w:val="5F1901C6"/>
    <w:multiLevelType w:val="hybridMultilevel"/>
    <w:tmpl w:val="912CC82A"/>
    <w:lvl w:ilvl="0" w:tplc="9A2C25B4">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5" w15:restartNumberingAfterBreak="0">
    <w:nsid w:val="67AA40EB"/>
    <w:multiLevelType w:val="hybridMultilevel"/>
    <w:tmpl w:val="655CE21E"/>
    <w:lvl w:ilvl="0" w:tplc="E4308FB2">
      <w:start w:val="1"/>
      <w:numFmt w:val="bullet"/>
      <w:lvlText w:val=""/>
      <w:lvlJc w:val="left"/>
      <w:pPr>
        <w:ind w:left="720" w:hanging="360"/>
      </w:pPr>
      <w:rPr>
        <w:rFonts w:ascii="Symbol" w:hAnsi="Symbol" w:hint="default"/>
      </w:rPr>
    </w:lvl>
    <w:lvl w:ilvl="1" w:tplc="673ABA70">
      <w:start w:val="1"/>
      <w:numFmt w:val="bullet"/>
      <w:pStyle w:val="HelvBullSub"/>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049746C"/>
    <w:multiLevelType w:val="hybridMultilevel"/>
    <w:tmpl w:val="F4E0F28E"/>
    <w:lvl w:ilvl="0" w:tplc="C5969B14">
      <w:start w:val="1"/>
      <w:numFmt w:val="decimal"/>
      <w:pStyle w:val="Nums"/>
      <w:lvlText w:val="%1."/>
      <w:lvlJc w:val="left"/>
      <w:pPr>
        <w:ind w:left="726" w:hanging="360"/>
      </w:pPr>
      <w:rPr>
        <w:color w:val="auto"/>
      </w:rPr>
    </w:lvl>
    <w:lvl w:ilvl="1" w:tplc="0C090019" w:tentative="1">
      <w:start w:val="1"/>
      <w:numFmt w:val="lowerLetter"/>
      <w:lvlText w:val="%2."/>
      <w:lvlJc w:val="left"/>
      <w:pPr>
        <w:ind w:left="1446" w:hanging="360"/>
      </w:pPr>
    </w:lvl>
    <w:lvl w:ilvl="2" w:tplc="0C09001B" w:tentative="1">
      <w:start w:val="1"/>
      <w:numFmt w:val="lowerRoman"/>
      <w:lvlText w:val="%3."/>
      <w:lvlJc w:val="right"/>
      <w:pPr>
        <w:ind w:left="2166" w:hanging="180"/>
      </w:pPr>
    </w:lvl>
    <w:lvl w:ilvl="3" w:tplc="0C09000F" w:tentative="1">
      <w:start w:val="1"/>
      <w:numFmt w:val="decimal"/>
      <w:lvlText w:val="%4."/>
      <w:lvlJc w:val="left"/>
      <w:pPr>
        <w:ind w:left="2886" w:hanging="360"/>
      </w:pPr>
    </w:lvl>
    <w:lvl w:ilvl="4" w:tplc="0C090019" w:tentative="1">
      <w:start w:val="1"/>
      <w:numFmt w:val="lowerLetter"/>
      <w:lvlText w:val="%5."/>
      <w:lvlJc w:val="left"/>
      <w:pPr>
        <w:ind w:left="3606" w:hanging="360"/>
      </w:pPr>
    </w:lvl>
    <w:lvl w:ilvl="5" w:tplc="0C09001B" w:tentative="1">
      <w:start w:val="1"/>
      <w:numFmt w:val="lowerRoman"/>
      <w:lvlText w:val="%6."/>
      <w:lvlJc w:val="right"/>
      <w:pPr>
        <w:ind w:left="4326" w:hanging="180"/>
      </w:pPr>
    </w:lvl>
    <w:lvl w:ilvl="6" w:tplc="0C09000F" w:tentative="1">
      <w:start w:val="1"/>
      <w:numFmt w:val="decimal"/>
      <w:lvlText w:val="%7."/>
      <w:lvlJc w:val="left"/>
      <w:pPr>
        <w:ind w:left="5046" w:hanging="360"/>
      </w:pPr>
    </w:lvl>
    <w:lvl w:ilvl="7" w:tplc="0C090019" w:tentative="1">
      <w:start w:val="1"/>
      <w:numFmt w:val="lowerLetter"/>
      <w:lvlText w:val="%8."/>
      <w:lvlJc w:val="left"/>
      <w:pPr>
        <w:ind w:left="5766" w:hanging="360"/>
      </w:pPr>
    </w:lvl>
    <w:lvl w:ilvl="8" w:tplc="0C09001B" w:tentative="1">
      <w:start w:val="1"/>
      <w:numFmt w:val="lowerRoman"/>
      <w:lvlText w:val="%9."/>
      <w:lvlJc w:val="right"/>
      <w:pPr>
        <w:ind w:left="6486" w:hanging="180"/>
      </w:pPr>
    </w:lvl>
  </w:abstractNum>
  <w:num w:numId="1">
    <w:abstractNumId w:val="1"/>
  </w:num>
  <w:num w:numId="2">
    <w:abstractNumId w:val="1"/>
  </w:num>
  <w:num w:numId="3">
    <w:abstractNumId w:val="3"/>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4">
    <w:abstractNumId w:val="3"/>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5">
    <w:abstractNumId w:val="2"/>
  </w:num>
  <w:num w:numId="6">
    <w:abstractNumId w:val="7"/>
  </w:num>
  <w:num w:numId="7">
    <w:abstractNumId w:val="12"/>
  </w:num>
  <w:num w:numId="8">
    <w:abstractNumId w:val="3"/>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9">
    <w:abstractNumId w:val="1"/>
  </w:num>
  <w:num w:numId="10">
    <w:abstractNumId w:val="2"/>
  </w:num>
  <w:num w:numId="11">
    <w:abstractNumId w:val="8"/>
  </w:num>
  <w:num w:numId="12">
    <w:abstractNumId w:val="8"/>
  </w:num>
  <w:num w:numId="13">
    <w:abstractNumId w:val="9"/>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15"/>
  </w:num>
  <w:num w:numId="22">
    <w:abstractNumId w:val="16"/>
  </w:num>
  <w:num w:numId="23">
    <w:abstractNumId w:val="4"/>
  </w:num>
  <w:num w:numId="24">
    <w:abstractNumId w:val="8"/>
  </w:num>
  <w:num w:numId="25">
    <w:abstractNumId w:val="13"/>
  </w:num>
  <w:num w:numId="26">
    <w:abstractNumId w:val="10"/>
  </w:num>
  <w:num w:numId="27">
    <w:abstractNumId w:val="6"/>
  </w:num>
  <w:num w:numId="28">
    <w:abstractNumId w:val="14"/>
  </w:num>
  <w:num w:numId="29">
    <w:abstractNumId w:val="11"/>
  </w:num>
  <w:num w:numId="30">
    <w:abstractNumId w:val="5"/>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deTemplateCatalog_1" w:val="&lt;ActiveDocsTemplateCatalog&gt;_x000d__x000a_  &lt;TP&gt;_x000d__x000a_    &lt;Name&gt;DocStructure&lt;/Name&gt;_x000d__x000a_    &lt;Value&gt;&amp;lt;Document /&amp;gt;&lt;/Value&gt;_x000d__x000a_  &lt;/TP&gt;_x000d__x000a_  &lt;TP&gt;_x000d__x000a_    &lt;Name&gt;wizardorder&lt;/Name&gt;_x000d__x000a_    &lt;Value&gt;&amp;lt;wizardorder&amp;gt;&amp;lt;/wizardorder&amp;gt;&lt;/Value&gt;_x000d__x000a_  &lt;/TP&gt;_x000d__x000a_&lt;/ActiveDocsTemplateCatalog&gt;"/>
    <w:docVar w:name="adID" w:val="5191AD7366E84DB4910DA2DD644565B6"/>
    <w:docVar w:name="adVersion" w:val="7.1"/>
  </w:docVars>
  <w:rsids>
    <w:rsidRoot w:val="0047139A"/>
    <w:rsid w:val="00013274"/>
    <w:rsid w:val="0009387B"/>
    <w:rsid w:val="0012697F"/>
    <w:rsid w:val="00130C13"/>
    <w:rsid w:val="00147810"/>
    <w:rsid w:val="001859D5"/>
    <w:rsid w:val="001B0707"/>
    <w:rsid w:val="001C00FF"/>
    <w:rsid w:val="001C2685"/>
    <w:rsid w:val="001C3282"/>
    <w:rsid w:val="001D4658"/>
    <w:rsid w:val="001E35FC"/>
    <w:rsid w:val="001E3F9A"/>
    <w:rsid w:val="001F374E"/>
    <w:rsid w:val="00230585"/>
    <w:rsid w:val="00241E26"/>
    <w:rsid w:val="00242D34"/>
    <w:rsid w:val="002459AD"/>
    <w:rsid w:val="00283590"/>
    <w:rsid w:val="0029157D"/>
    <w:rsid w:val="00292847"/>
    <w:rsid w:val="00294519"/>
    <w:rsid w:val="00294725"/>
    <w:rsid w:val="002A620F"/>
    <w:rsid w:val="002F2BF6"/>
    <w:rsid w:val="002F312C"/>
    <w:rsid w:val="002F575F"/>
    <w:rsid w:val="0030119F"/>
    <w:rsid w:val="00343353"/>
    <w:rsid w:val="0035372D"/>
    <w:rsid w:val="00367D33"/>
    <w:rsid w:val="00395621"/>
    <w:rsid w:val="003D3C90"/>
    <w:rsid w:val="003F54DE"/>
    <w:rsid w:val="00465ABB"/>
    <w:rsid w:val="0047139A"/>
    <w:rsid w:val="00472AA0"/>
    <w:rsid w:val="004734BA"/>
    <w:rsid w:val="0049597E"/>
    <w:rsid w:val="004F6E03"/>
    <w:rsid w:val="00501FDE"/>
    <w:rsid w:val="00524D7D"/>
    <w:rsid w:val="0053615C"/>
    <w:rsid w:val="00545B8F"/>
    <w:rsid w:val="00552C21"/>
    <w:rsid w:val="00553F74"/>
    <w:rsid w:val="0057190C"/>
    <w:rsid w:val="005742AB"/>
    <w:rsid w:val="0058015C"/>
    <w:rsid w:val="005A27FC"/>
    <w:rsid w:val="005C5F09"/>
    <w:rsid w:val="005D377D"/>
    <w:rsid w:val="005F0C05"/>
    <w:rsid w:val="0060073E"/>
    <w:rsid w:val="00603864"/>
    <w:rsid w:val="00620616"/>
    <w:rsid w:val="0068174C"/>
    <w:rsid w:val="00701DA1"/>
    <w:rsid w:val="00712F59"/>
    <w:rsid w:val="00737B74"/>
    <w:rsid w:val="00757E84"/>
    <w:rsid w:val="007B33E4"/>
    <w:rsid w:val="007E38A3"/>
    <w:rsid w:val="0081202D"/>
    <w:rsid w:val="008635D0"/>
    <w:rsid w:val="00866F1C"/>
    <w:rsid w:val="00872500"/>
    <w:rsid w:val="00884F3A"/>
    <w:rsid w:val="00892353"/>
    <w:rsid w:val="00901B22"/>
    <w:rsid w:val="009070E7"/>
    <w:rsid w:val="009372B6"/>
    <w:rsid w:val="00942687"/>
    <w:rsid w:val="00961678"/>
    <w:rsid w:val="00972112"/>
    <w:rsid w:val="00977DD0"/>
    <w:rsid w:val="00993BD7"/>
    <w:rsid w:val="009A7949"/>
    <w:rsid w:val="009D37A2"/>
    <w:rsid w:val="009D57CB"/>
    <w:rsid w:val="00A0062C"/>
    <w:rsid w:val="00A039FE"/>
    <w:rsid w:val="00A058BF"/>
    <w:rsid w:val="00A15647"/>
    <w:rsid w:val="00A20292"/>
    <w:rsid w:val="00A27C1E"/>
    <w:rsid w:val="00A83DAE"/>
    <w:rsid w:val="00A95C38"/>
    <w:rsid w:val="00AA2613"/>
    <w:rsid w:val="00AA544C"/>
    <w:rsid w:val="00AB4B30"/>
    <w:rsid w:val="00AD11CF"/>
    <w:rsid w:val="00AF3BE2"/>
    <w:rsid w:val="00B1370E"/>
    <w:rsid w:val="00B42A78"/>
    <w:rsid w:val="00B46F88"/>
    <w:rsid w:val="00B7742B"/>
    <w:rsid w:val="00BA15D7"/>
    <w:rsid w:val="00BA2913"/>
    <w:rsid w:val="00BA42DF"/>
    <w:rsid w:val="00BA6987"/>
    <w:rsid w:val="00BF4B6E"/>
    <w:rsid w:val="00C07376"/>
    <w:rsid w:val="00C16C44"/>
    <w:rsid w:val="00C61F2A"/>
    <w:rsid w:val="00CB5B9F"/>
    <w:rsid w:val="00CE64C5"/>
    <w:rsid w:val="00CF5987"/>
    <w:rsid w:val="00D05331"/>
    <w:rsid w:val="00D20606"/>
    <w:rsid w:val="00D25D38"/>
    <w:rsid w:val="00D34FBE"/>
    <w:rsid w:val="00D509BC"/>
    <w:rsid w:val="00D51C12"/>
    <w:rsid w:val="00D91AE1"/>
    <w:rsid w:val="00D92466"/>
    <w:rsid w:val="00D9283D"/>
    <w:rsid w:val="00DC30B0"/>
    <w:rsid w:val="00DE2AA2"/>
    <w:rsid w:val="00E10423"/>
    <w:rsid w:val="00E5797D"/>
    <w:rsid w:val="00EB4304"/>
    <w:rsid w:val="00EE5A76"/>
    <w:rsid w:val="00EF0E42"/>
    <w:rsid w:val="00F157DE"/>
    <w:rsid w:val="00F5456A"/>
    <w:rsid w:val="00F61BB8"/>
    <w:rsid w:val="00F843F5"/>
    <w:rsid w:val="00FA0E21"/>
    <w:rsid w:val="00FA51AC"/>
    <w:rsid w:val="00FB080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6A729B"/>
  <w15:docId w15:val="{606E7E34-31E8-4305-9A17-47A0741D4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6F1C"/>
    <w:pPr>
      <w:widowControl w:val="0"/>
      <w:spacing w:after="200"/>
    </w:pPr>
    <w:rPr>
      <w:rFonts w:ascii="Arial" w:hAnsi="Arial"/>
      <w:sz w:val="22"/>
      <w:lang w:val="en-AU" w:eastAsia="en-AU"/>
    </w:rPr>
  </w:style>
  <w:style w:type="paragraph" w:styleId="Heading1">
    <w:name w:val="heading 1"/>
    <w:basedOn w:val="Normal"/>
    <w:next w:val="Normal"/>
    <w:link w:val="Heading1Char"/>
    <w:qFormat/>
    <w:rsid w:val="00701DA1"/>
    <w:pPr>
      <w:numPr>
        <w:numId w:val="24"/>
      </w:numPr>
      <w:spacing w:after="120"/>
      <w:ind w:left="431" w:hanging="431"/>
      <w:outlineLvl w:val="0"/>
    </w:pPr>
    <w:rPr>
      <w:rFonts w:eastAsiaTheme="majorEastAsia" w:cstheme="majorBidi"/>
      <w:b/>
      <w:bCs/>
      <w:caps/>
      <w:kern w:val="32"/>
      <w:sz w:val="32"/>
      <w:szCs w:val="32"/>
    </w:rPr>
  </w:style>
  <w:style w:type="paragraph" w:styleId="Heading2">
    <w:name w:val="heading 2"/>
    <w:basedOn w:val="Normal"/>
    <w:next w:val="Normal"/>
    <w:link w:val="Heading2Char"/>
    <w:unhideWhenUsed/>
    <w:qFormat/>
    <w:rsid w:val="00866F1C"/>
    <w:pPr>
      <w:numPr>
        <w:ilvl w:val="1"/>
        <w:numId w:val="24"/>
      </w:numPr>
      <w:spacing w:before="240" w:after="120"/>
      <w:outlineLvl w:val="1"/>
    </w:pPr>
    <w:rPr>
      <w:rFonts w:eastAsiaTheme="majorEastAsia" w:cstheme="majorBidi"/>
      <w:b/>
      <w:bCs/>
      <w:iCs/>
      <w:caps/>
      <w:color w:val="606060"/>
      <w:sz w:val="28"/>
      <w:szCs w:val="28"/>
      <w:lang w:val="en-US"/>
    </w:rPr>
  </w:style>
  <w:style w:type="paragraph" w:styleId="Heading3">
    <w:name w:val="heading 3"/>
    <w:basedOn w:val="Normal"/>
    <w:next w:val="Normal"/>
    <w:link w:val="Heading3Char"/>
    <w:qFormat/>
    <w:rsid w:val="00866F1C"/>
    <w:pPr>
      <w:numPr>
        <w:ilvl w:val="2"/>
        <w:numId w:val="24"/>
      </w:numPr>
      <w:spacing w:before="240" w:after="120"/>
      <w:outlineLvl w:val="2"/>
    </w:pPr>
    <w:rPr>
      <w:rFonts w:cs="Arial"/>
      <w:b/>
      <w:bCs/>
      <w:sz w:val="24"/>
      <w:szCs w:val="26"/>
      <w:lang w:val="en-US"/>
    </w:rPr>
  </w:style>
  <w:style w:type="paragraph" w:styleId="Heading4">
    <w:name w:val="heading 4"/>
    <w:basedOn w:val="Normal"/>
    <w:next w:val="Normal"/>
    <w:link w:val="Heading4Char"/>
    <w:uiPriority w:val="9"/>
    <w:unhideWhenUsed/>
    <w:qFormat/>
    <w:rsid w:val="00866F1C"/>
    <w:pPr>
      <w:numPr>
        <w:ilvl w:val="3"/>
        <w:numId w:val="24"/>
      </w:numPr>
      <w:spacing w:before="240" w:after="120"/>
      <w:outlineLvl w:val="3"/>
    </w:pPr>
    <w:rPr>
      <w:rFonts w:eastAsiaTheme="majorEastAsia" w:cstheme="majorBidi"/>
      <w:b/>
      <w:bCs/>
      <w:iCs/>
      <w:color w:val="606060"/>
    </w:rPr>
  </w:style>
  <w:style w:type="paragraph" w:styleId="Heading5">
    <w:name w:val="heading 5"/>
    <w:basedOn w:val="Normal"/>
    <w:next w:val="Normal"/>
    <w:link w:val="Heading5Char"/>
    <w:uiPriority w:val="9"/>
    <w:unhideWhenUsed/>
    <w:qFormat/>
    <w:rsid w:val="00866F1C"/>
    <w:pPr>
      <w:keepNext/>
      <w:keepLines/>
      <w:numPr>
        <w:ilvl w:val="4"/>
        <w:numId w:val="24"/>
      </w:numPr>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unhideWhenUsed/>
    <w:qFormat/>
    <w:rsid w:val="00866F1C"/>
    <w:pPr>
      <w:keepNext/>
      <w:keepLines/>
      <w:numPr>
        <w:ilvl w:val="5"/>
        <w:numId w:val="24"/>
      </w:numPr>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unhideWhenUsed/>
    <w:qFormat/>
    <w:rsid w:val="00866F1C"/>
    <w:pPr>
      <w:keepNext/>
      <w:keepLines/>
      <w:numPr>
        <w:ilvl w:val="6"/>
        <w:numId w:val="24"/>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866F1C"/>
    <w:pPr>
      <w:keepNext/>
      <w:keepLines/>
      <w:numPr>
        <w:ilvl w:val="7"/>
        <w:numId w:val="24"/>
      </w:numPr>
      <w:spacing w:before="200" w:after="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unhideWhenUsed/>
    <w:qFormat/>
    <w:rsid w:val="00866F1C"/>
    <w:pPr>
      <w:keepNext/>
      <w:keepLines/>
      <w:numPr>
        <w:ilvl w:val="8"/>
        <w:numId w:val="24"/>
      </w:numPr>
      <w:spacing w:before="200" w:after="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pPr>
      <w:numPr>
        <w:numId w:val="9"/>
      </w:numPr>
    </w:pPr>
  </w:style>
  <w:style w:type="paragraph" w:customStyle="1" w:styleId="BodyText">
    <w:name w:val="BodyText"/>
    <w:basedOn w:val="Normal"/>
    <w:link w:val="BodyTextChar"/>
    <w:uiPriority w:val="99"/>
    <w:pPr>
      <w:spacing w:before="60" w:after="60"/>
      <w:jc w:val="both"/>
    </w:pPr>
    <w:rPr>
      <w:lang w:val="en-US"/>
    </w:rPr>
  </w:style>
  <w:style w:type="paragraph" w:customStyle="1" w:styleId="BoldCapital">
    <w:name w:val="Bold Capital"/>
    <w:basedOn w:val="Normal"/>
    <w:pPr>
      <w:spacing w:before="40" w:after="40"/>
    </w:pPr>
    <w:rPr>
      <w:b/>
      <w:caps/>
      <w:lang w:val="en-US"/>
    </w:rPr>
  </w:style>
  <w:style w:type="paragraph" w:customStyle="1" w:styleId="IndentBH">
    <w:name w:val="IndentB_H"/>
    <w:basedOn w:val="Normal"/>
    <w:pPr>
      <w:numPr>
        <w:numId w:val="8"/>
      </w:numPr>
      <w:spacing w:before="60" w:after="60"/>
      <w:ind w:left="720" w:hanging="720"/>
      <w:jc w:val="both"/>
    </w:pPr>
    <w:rPr>
      <w:lang w:val="en-US"/>
    </w:rPr>
  </w:style>
  <w:style w:type="paragraph" w:customStyle="1" w:styleId="ASList">
    <w:name w:val="AS_List"/>
    <w:basedOn w:val="Normal"/>
    <w:pPr>
      <w:ind w:left="1440" w:hanging="1440"/>
    </w:pPr>
    <w:rPr>
      <w:lang w:val="en-US"/>
    </w:rPr>
  </w:style>
  <w:style w:type="paragraph" w:customStyle="1" w:styleId="Indent2H">
    <w:name w:val="Indent2_H"/>
    <w:basedOn w:val="IndentBH"/>
    <w:pPr>
      <w:ind w:left="2880" w:hanging="2880"/>
    </w:pPr>
  </w:style>
  <w:style w:type="paragraph" w:customStyle="1" w:styleId="guidenotes">
    <w:name w:val="guide notes"/>
    <w:basedOn w:val="Normal"/>
    <w:next w:val="Normal"/>
    <w:pPr>
      <w:tabs>
        <w:tab w:val="left" w:pos="3175"/>
      </w:tabs>
      <w:ind w:left="3175"/>
    </w:pPr>
    <w:rPr>
      <w:i/>
      <w:vanish/>
      <w:color w:val="00FF00"/>
      <w:spacing w:val="-2"/>
      <w:lang w:val="en-US"/>
    </w:rPr>
  </w:style>
  <w:style w:type="character" w:customStyle="1" w:styleId="masterspecversion">
    <w:name w:val="master spec version"/>
    <w:rPr>
      <w:rFonts w:ascii="Arial" w:hAnsi="Arial"/>
      <w:smallCaps/>
      <w:vanish/>
      <w:color w:val="0000FF"/>
      <w:sz w:val="18"/>
    </w:rPr>
  </w:style>
  <w:style w:type="paragraph" w:styleId="Header">
    <w:name w:val="header"/>
    <w:basedOn w:val="Normal"/>
    <w:next w:val="Normal"/>
    <w:link w:val="HeaderChar"/>
    <w:uiPriority w:val="99"/>
    <w:unhideWhenUsed/>
    <w:rsid w:val="00866F1C"/>
    <w:pPr>
      <w:tabs>
        <w:tab w:val="center" w:pos="4513"/>
        <w:tab w:val="right" w:pos="9026"/>
      </w:tabs>
      <w:jc w:val="right"/>
    </w:pPr>
    <w:rPr>
      <w:b/>
    </w:rPr>
  </w:style>
  <w:style w:type="paragraph" w:styleId="Footer">
    <w:name w:val="footer"/>
    <w:basedOn w:val="Normal"/>
    <w:next w:val="Normal"/>
    <w:link w:val="FooterChar"/>
    <w:uiPriority w:val="99"/>
    <w:unhideWhenUsed/>
    <w:rsid w:val="00866F1C"/>
    <w:pPr>
      <w:tabs>
        <w:tab w:val="right" w:pos="9639"/>
        <w:tab w:val="right" w:pos="14459"/>
      </w:tabs>
      <w:spacing w:after="0"/>
      <w:ind w:left="-709" w:right="-340"/>
    </w:pPr>
    <w:rPr>
      <w:rFonts w:cs="Arial"/>
      <w:szCs w:val="22"/>
    </w:rPr>
  </w:style>
  <w:style w:type="paragraph" w:styleId="DocumentMap">
    <w:name w:val="Document Map"/>
    <w:basedOn w:val="Normal"/>
    <w:semiHidden/>
    <w:pPr>
      <w:shd w:val="clear" w:color="auto" w:fill="000080"/>
    </w:pPr>
    <w:rPr>
      <w:rFonts w:ascii="Tahoma" w:hAnsi="Tahoma"/>
    </w:rPr>
  </w:style>
  <w:style w:type="paragraph" w:styleId="BalloonText">
    <w:name w:val="Balloon Text"/>
    <w:basedOn w:val="Normal"/>
    <w:link w:val="BalloonTextChar"/>
    <w:uiPriority w:val="99"/>
    <w:unhideWhenUsed/>
    <w:rsid w:val="00866F1C"/>
    <w:rPr>
      <w:rFonts w:ascii="Tahoma" w:hAnsi="Tahoma" w:cs="Tahoma"/>
      <w:sz w:val="16"/>
      <w:szCs w:val="16"/>
    </w:rPr>
  </w:style>
  <w:style w:type="character" w:customStyle="1" w:styleId="BalloonTextChar">
    <w:name w:val="Balloon Text Char"/>
    <w:basedOn w:val="DefaultParagraphFont"/>
    <w:link w:val="BalloonText"/>
    <w:uiPriority w:val="99"/>
    <w:rsid w:val="00866F1C"/>
    <w:rPr>
      <w:rFonts w:ascii="Tahoma" w:hAnsi="Tahoma" w:cs="Tahoma"/>
      <w:sz w:val="16"/>
      <w:szCs w:val="16"/>
      <w:lang w:val="en-AU" w:eastAsia="en-AU"/>
    </w:rPr>
  </w:style>
  <w:style w:type="paragraph" w:styleId="Revision">
    <w:name w:val="Revision"/>
    <w:hidden/>
    <w:uiPriority w:val="99"/>
    <w:semiHidden/>
    <w:rsid w:val="0053615C"/>
    <w:rPr>
      <w:rFonts w:ascii="Arial" w:hAnsi="Arial"/>
      <w:lang w:val="en-AU" w:eastAsia="en-AU"/>
    </w:rPr>
  </w:style>
  <w:style w:type="character" w:customStyle="1" w:styleId="BodyTextChar">
    <w:name w:val="BodyText Char"/>
    <w:link w:val="BodyText"/>
    <w:rsid w:val="00AA2613"/>
    <w:rPr>
      <w:rFonts w:ascii="Arial" w:hAnsi="Arial"/>
      <w:lang w:val="en-US"/>
    </w:rPr>
  </w:style>
  <w:style w:type="character" w:styleId="Hyperlink">
    <w:name w:val="Hyperlink"/>
    <w:basedOn w:val="DefaultParagraphFont"/>
    <w:uiPriority w:val="99"/>
    <w:unhideWhenUsed/>
    <w:rsid w:val="00866F1C"/>
    <w:rPr>
      <w:color w:val="0563C1" w:themeColor="hyperlink"/>
      <w:u w:val="single"/>
    </w:rPr>
  </w:style>
  <w:style w:type="paragraph" w:customStyle="1" w:styleId="AgencyName">
    <w:name w:val="AgencyName"/>
    <w:basedOn w:val="Normal"/>
    <w:link w:val="AgencyNameChar"/>
    <w:rsid w:val="00866F1C"/>
    <w:pPr>
      <w:spacing w:after="120"/>
      <w:jc w:val="both"/>
    </w:pPr>
    <w:rPr>
      <w:color w:val="FFFFFF"/>
      <w:sz w:val="26"/>
      <w:szCs w:val="22"/>
    </w:rPr>
  </w:style>
  <w:style w:type="character" w:customStyle="1" w:styleId="AgencyNameChar">
    <w:name w:val="AgencyName Char"/>
    <w:basedOn w:val="DefaultParagraphFont"/>
    <w:link w:val="AgencyName"/>
    <w:rsid w:val="00866F1C"/>
    <w:rPr>
      <w:rFonts w:ascii="Arial" w:hAnsi="Arial"/>
      <w:color w:val="FFFFFF"/>
      <w:sz w:val="26"/>
      <w:szCs w:val="22"/>
      <w:lang w:val="en-AU" w:eastAsia="en-AU"/>
    </w:rPr>
  </w:style>
  <w:style w:type="paragraph" w:customStyle="1" w:styleId="AgencyNameBold">
    <w:name w:val="AgencyNameBold"/>
    <w:basedOn w:val="AgencyName"/>
    <w:link w:val="AgencyNameBoldChar"/>
    <w:rsid w:val="00866F1C"/>
    <w:rPr>
      <w:b/>
      <w:bCs/>
      <w:spacing w:val="16"/>
      <w:szCs w:val="26"/>
    </w:rPr>
  </w:style>
  <w:style w:type="character" w:customStyle="1" w:styleId="AgencyNameBoldChar">
    <w:name w:val="AgencyNameBold Char"/>
    <w:basedOn w:val="AgencyNameChar"/>
    <w:link w:val="AgencyNameBold"/>
    <w:rsid w:val="00866F1C"/>
    <w:rPr>
      <w:rFonts w:ascii="Arial" w:hAnsi="Arial"/>
      <w:b/>
      <w:bCs/>
      <w:color w:val="FFFFFF"/>
      <w:spacing w:val="16"/>
      <w:sz w:val="26"/>
      <w:szCs w:val="26"/>
      <w:lang w:val="en-AU" w:eastAsia="en-AU"/>
    </w:rPr>
  </w:style>
  <w:style w:type="character" w:customStyle="1" w:styleId="Heading1Char">
    <w:name w:val="Heading 1 Char"/>
    <w:basedOn w:val="DefaultParagraphFont"/>
    <w:link w:val="Heading1"/>
    <w:rsid w:val="00701DA1"/>
    <w:rPr>
      <w:rFonts w:ascii="Arial" w:eastAsiaTheme="majorEastAsia" w:hAnsi="Arial" w:cstheme="majorBidi"/>
      <w:b/>
      <w:bCs/>
      <w:caps/>
      <w:kern w:val="32"/>
      <w:sz w:val="32"/>
      <w:szCs w:val="32"/>
      <w:lang w:val="en-AU" w:eastAsia="en-AU"/>
    </w:rPr>
  </w:style>
  <w:style w:type="paragraph" w:customStyle="1" w:styleId="Appendix">
    <w:name w:val="Appendix"/>
    <w:basedOn w:val="Heading1"/>
    <w:link w:val="AppendixChar"/>
    <w:qFormat/>
    <w:rsid w:val="00866F1C"/>
    <w:pPr>
      <w:numPr>
        <w:numId w:val="0"/>
      </w:numPr>
    </w:pPr>
    <w:rPr>
      <w:szCs w:val="26"/>
    </w:rPr>
  </w:style>
  <w:style w:type="character" w:customStyle="1" w:styleId="AppendixChar">
    <w:name w:val="Appendix Char"/>
    <w:basedOn w:val="Heading1Char"/>
    <w:link w:val="Appendix"/>
    <w:rsid w:val="00866F1C"/>
    <w:rPr>
      <w:rFonts w:ascii="Arial" w:eastAsiaTheme="majorEastAsia" w:hAnsi="Arial" w:cstheme="majorBidi"/>
      <w:b/>
      <w:bCs/>
      <w:caps/>
      <w:kern w:val="32"/>
      <w:sz w:val="32"/>
      <w:szCs w:val="26"/>
      <w:lang w:val="en-AU" w:eastAsia="en-AU"/>
    </w:rPr>
  </w:style>
  <w:style w:type="character" w:customStyle="1" w:styleId="Heading2Char">
    <w:name w:val="Heading 2 Char"/>
    <w:basedOn w:val="DefaultParagraphFont"/>
    <w:link w:val="Heading2"/>
    <w:rsid w:val="00866F1C"/>
    <w:rPr>
      <w:rFonts w:ascii="Arial" w:eastAsiaTheme="majorEastAsia" w:hAnsi="Arial" w:cstheme="majorBidi"/>
      <w:b/>
      <w:bCs/>
      <w:iCs/>
      <w:caps/>
      <w:color w:val="606060"/>
      <w:sz w:val="28"/>
      <w:szCs w:val="28"/>
      <w:lang w:val="en-US" w:eastAsia="en-AU"/>
    </w:rPr>
  </w:style>
  <w:style w:type="paragraph" w:customStyle="1" w:styleId="Appendix2">
    <w:name w:val="Appendix 2"/>
    <w:basedOn w:val="Heading2"/>
    <w:link w:val="Appendix2Char"/>
    <w:rsid w:val="00866F1C"/>
    <w:pPr>
      <w:numPr>
        <w:ilvl w:val="0"/>
        <w:numId w:val="0"/>
      </w:numPr>
      <w:ind w:left="851" w:hanging="851"/>
    </w:pPr>
  </w:style>
  <w:style w:type="character" w:customStyle="1" w:styleId="Appendix2Char">
    <w:name w:val="Appendix 2 Char"/>
    <w:basedOn w:val="Heading2Char"/>
    <w:link w:val="Appendix2"/>
    <w:rsid w:val="00866F1C"/>
    <w:rPr>
      <w:rFonts w:ascii="Arial" w:eastAsiaTheme="majorEastAsia" w:hAnsi="Arial" w:cstheme="majorBidi"/>
      <w:b/>
      <w:bCs/>
      <w:iCs/>
      <w:caps/>
      <w:color w:val="606060"/>
      <w:sz w:val="28"/>
      <w:szCs w:val="28"/>
      <w:lang w:val="en-US" w:eastAsia="en-AU"/>
    </w:rPr>
  </w:style>
  <w:style w:type="paragraph" w:styleId="BlockText">
    <w:name w:val="Block Text"/>
    <w:basedOn w:val="Normal"/>
    <w:unhideWhenUsed/>
    <w:rsid w:val="00866F1C"/>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asciiTheme="minorHAnsi" w:eastAsiaTheme="minorEastAsia" w:hAnsiTheme="minorHAnsi"/>
      <w:i/>
      <w:iCs/>
      <w:color w:val="5B9BD5" w:themeColor="accent1"/>
    </w:rPr>
  </w:style>
  <w:style w:type="paragraph" w:styleId="ListParagraph">
    <w:name w:val="List Paragraph"/>
    <w:basedOn w:val="Normal"/>
    <w:uiPriority w:val="34"/>
    <w:qFormat/>
    <w:rsid w:val="00866F1C"/>
    <w:pPr>
      <w:ind w:left="720"/>
      <w:contextualSpacing/>
    </w:pPr>
  </w:style>
  <w:style w:type="paragraph" w:customStyle="1" w:styleId="Bullet">
    <w:name w:val="Bullet"/>
    <w:basedOn w:val="ListParagraph"/>
    <w:link w:val="BulletChar"/>
    <w:qFormat/>
    <w:rsid w:val="00866F1C"/>
    <w:pPr>
      <w:numPr>
        <w:numId w:val="13"/>
      </w:numPr>
      <w:tabs>
        <w:tab w:val="left" w:pos="567"/>
      </w:tabs>
      <w:spacing w:after="120"/>
      <w:ind w:left="1349" w:hanging="357"/>
      <w:contextualSpacing w:val="0"/>
    </w:pPr>
  </w:style>
  <w:style w:type="character" w:customStyle="1" w:styleId="BulletChar">
    <w:name w:val="Bullet Char"/>
    <w:basedOn w:val="DefaultParagraphFont"/>
    <w:link w:val="Bullet"/>
    <w:rsid w:val="00866F1C"/>
    <w:rPr>
      <w:rFonts w:ascii="Arial" w:hAnsi="Arial"/>
      <w:sz w:val="22"/>
      <w:lang w:val="en-AU" w:eastAsia="en-AU"/>
    </w:rPr>
  </w:style>
  <w:style w:type="character" w:styleId="CommentReference">
    <w:name w:val="annotation reference"/>
    <w:basedOn w:val="DefaultParagraphFont"/>
    <w:uiPriority w:val="99"/>
    <w:unhideWhenUsed/>
    <w:rsid w:val="00866F1C"/>
    <w:rPr>
      <w:sz w:val="16"/>
      <w:szCs w:val="16"/>
    </w:rPr>
  </w:style>
  <w:style w:type="paragraph" w:styleId="CommentText">
    <w:name w:val="annotation text"/>
    <w:basedOn w:val="Normal"/>
    <w:link w:val="CommentTextChar"/>
    <w:uiPriority w:val="99"/>
    <w:unhideWhenUsed/>
    <w:rsid w:val="00866F1C"/>
    <w:pPr>
      <w:jc w:val="both"/>
    </w:pPr>
    <w:rPr>
      <w:rFonts w:ascii="Calibri" w:hAnsi="Calibri"/>
      <w:sz w:val="20"/>
      <w:lang w:val="en-US" w:eastAsia="en-US"/>
    </w:rPr>
  </w:style>
  <w:style w:type="character" w:customStyle="1" w:styleId="CommentTextChar">
    <w:name w:val="Comment Text Char"/>
    <w:basedOn w:val="DefaultParagraphFont"/>
    <w:link w:val="CommentText"/>
    <w:uiPriority w:val="99"/>
    <w:rsid w:val="00866F1C"/>
    <w:rPr>
      <w:rFonts w:ascii="Calibri" w:hAnsi="Calibri"/>
      <w:lang w:val="en-US" w:eastAsia="en-US"/>
    </w:rPr>
  </w:style>
  <w:style w:type="paragraph" w:styleId="CommentSubject">
    <w:name w:val="annotation subject"/>
    <w:basedOn w:val="CommentText"/>
    <w:next w:val="CommentText"/>
    <w:link w:val="CommentSubjectChar"/>
    <w:uiPriority w:val="99"/>
    <w:unhideWhenUsed/>
    <w:rsid w:val="00866F1C"/>
    <w:rPr>
      <w:rFonts w:asciiTheme="minorHAnsi" w:eastAsiaTheme="minorHAnsi" w:hAnsiTheme="minorHAnsi" w:cstheme="minorBidi"/>
      <w:b/>
      <w:bCs/>
      <w:lang w:val="en-AU"/>
    </w:rPr>
  </w:style>
  <w:style w:type="character" w:customStyle="1" w:styleId="CommentSubjectChar">
    <w:name w:val="Comment Subject Char"/>
    <w:basedOn w:val="CommentTextChar"/>
    <w:link w:val="CommentSubject"/>
    <w:uiPriority w:val="99"/>
    <w:rsid w:val="00866F1C"/>
    <w:rPr>
      <w:rFonts w:asciiTheme="minorHAnsi" w:eastAsiaTheme="minorHAnsi" w:hAnsiTheme="minorHAnsi" w:cstheme="minorBidi"/>
      <w:b/>
      <w:bCs/>
      <w:lang w:val="en-AU" w:eastAsia="en-US"/>
    </w:rPr>
  </w:style>
  <w:style w:type="paragraph" w:customStyle="1" w:styleId="ContentsTitle">
    <w:name w:val="ContentsTitle"/>
    <w:link w:val="ContentsTitleChar"/>
    <w:qFormat/>
    <w:rsid w:val="00866F1C"/>
    <w:pPr>
      <w:spacing w:before="120" w:after="360"/>
    </w:pPr>
    <w:rPr>
      <w:rFonts w:ascii="Arial" w:eastAsiaTheme="majorEastAsia" w:hAnsi="Arial" w:cstheme="majorBidi"/>
      <w:b/>
      <w:bCs/>
      <w:kern w:val="32"/>
      <w:sz w:val="32"/>
      <w:szCs w:val="32"/>
      <w:lang w:val="en-AU" w:eastAsia="en-AU"/>
    </w:rPr>
  </w:style>
  <w:style w:type="character" w:customStyle="1" w:styleId="ContentsTitleChar">
    <w:name w:val="ContentsTitle Char"/>
    <w:basedOn w:val="DefaultParagraphFont"/>
    <w:link w:val="ContentsTitle"/>
    <w:rsid w:val="00866F1C"/>
    <w:rPr>
      <w:rFonts w:ascii="Arial" w:eastAsiaTheme="majorEastAsia" w:hAnsi="Arial" w:cstheme="majorBidi"/>
      <w:b/>
      <w:bCs/>
      <w:kern w:val="32"/>
      <w:sz w:val="32"/>
      <w:szCs w:val="32"/>
      <w:lang w:val="en-AU" w:eastAsia="en-AU"/>
    </w:rPr>
  </w:style>
  <w:style w:type="paragraph" w:customStyle="1" w:styleId="DateVersion">
    <w:name w:val="Date &amp; Version"/>
    <w:next w:val="Normal"/>
    <w:rsid w:val="00866F1C"/>
    <w:pPr>
      <w:spacing w:before="1400" w:after="200"/>
      <w:jc w:val="right"/>
    </w:pPr>
    <w:rPr>
      <w:rFonts w:ascii="Arial" w:hAnsi="Arial"/>
      <w:sz w:val="28"/>
      <w:lang w:val="en-AU" w:eastAsia="en-AU"/>
    </w:rPr>
  </w:style>
  <w:style w:type="paragraph" w:customStyle="1" w:styleId="DefaultParagraphFontPara3">
    <w:name w:val="Default Paragraph Font Para3"/>
    <w:basedOn w:val="Normal"/>
    <w:rsid w:val="00866F1C"/>
    <w:pPr>
      <w:jc w:val="both"/>
    </w:pPr>
    <w:rPr>
      <w:rFonts w:ascii="Calibri" w:hAnsi="Calibri"/>
      <w:szCs w:val="22"/>
      <w:lang w:val="en-US" w:eastAsia="en-US"/>
    </w:rPr>
  </w:style>
  <w:style w:type="paragraph" w:customStyle="1" w:styleId="FactSheetText">
    <w:name w:val="Fact Sheet Text"/>
    <w:basedOn w:val="Normal"/>
    <w:link w:val="FactSheetTextChar"/>
    <w:rsid w:val="00866F1C"/>
    <w:pPr>
      <w:spacing w:line="240" w:lineRule="atLeast"/>
    </w:pPr>
    <w:rPr>
      <w:color w:val="000000"/>
    </w:rPr>
  </w:style>
  <w:style w:type="character" w:customStyle="1" w:styleId="FactSheetTextChar">
    <w:name w:val="Fact Sheet Text Char"/>
    <w:link w:val="FactSheetText"/>
    <w:rsid w:val="00866F1C"/>
    <w:rPr>
      <w:rFonts w:ascii="Arial" w:hAnsi="Arial"/>
      <w:color w:val="000000"/>
      <w:sz w:val="22"/>
      <w:lang w:val="en-AU" w:eastAsia="en-AU"/>
    </w:rPr>
  </w:style>
  <w:style w:type="character" w:styleId="FollowedHyperlink">
    <w:name w:val="FollowedHyperlink"/>
    <w:basedOn w:val="DefaultParagraphFont"/>
    <w:uiPriority w:val="99"/>
    <w:unhideWhenUsed/>
    <w:rsid w:val="00866F1C"/>
    <w:rPr>
      <w:color w:val="954F72" w:themeColor="followedHyperlink"/>
      <w:u w:val="single"/>
    </w:rPr>
  </w:style>
  <w:style w:type="character" w:customStyle="1" w:styleId="FooterChar">
    <w:name w:val="Footer Char"/>
    <w:basedOn w:val="DefaultParagraphFont"/>
    <w:link w:val="Footer"/>
    <w:uiPriority w:val="99"/>
    <w:rsid w:val="00866F1C"/>
    <w:rPr>
      <w:rFonts w:ascii="Arial" w:hAnsi="Arial" w:cs="Arial"/>
      <w:sz w:val="22"/>
      <w:szCs w:val="22"/>
      <w:lang w:val="en-AU" w:eastAsia="en-AU"/>
    </w:rPr>
  </w:style>
  <w:style w:type="character" w:styleId="FootnoteReference">
    <w:name w:val="footnote reference"/>
    <w:basedOn w:val="DefaultParagraphFont"/>
    <w:uiPriority w:val="99"/>
    <w:unhideWhenUsed/>
    <w:rsid w:val="00866F1C"/>
    <w:rPr>
      <w:vertAlign w:val="superscript"/>
    </w:rPr>
  </w:style>
  <w:style w:type="paragraph" w:styleId="FootnoteText">
    <w:name w:val="footnote text"/>
    <w:basedOn w:val="Normal"/>
    <w:link w:val="FootnoteTextChar"/>
    <w:uiPriority w:val="99"/>
    <w:unhideWhenUsed/>
    <w:rsid w:val="00866F1C"/>
    <w:pPr>
      <w:jc w:val="both"/>
    </w:pPr>
    <w:rPr>
      <w:rFonts w:eastAsiaTheme="minorHAnsi" w:cs="Helvetica"/>
      <w:sz w:val="20"/>
      <w:lang w:eastAsia="en-US"/>
    </w:rPr>
  </w:style>
  <w:style w:type="character" w:customStyle="1" w:styleId="FootnoteTextChar">
    <w:name w:val="Footnote Text Char"/>
    <w:basedOn w:val="DefaultParagraphFont"/>
    <w:link w:val="FootnoteText"/>
    <w:uiPriority w:val="99"/>
    <w:rsid w:val="00866F1C"/>
    <w:rPr>
      <w:rFonts w:ascii="Arial" w:eastAsiaTheme="minorHAnsi" w:hAnsi="Arial" w:cs="Helvetica"/>
      <w:lang w:val="en-AU" w:eastAsia="en-US"/>
    </w:rPr>
  </w:style>
  <w:style w:type="paragraph" w:customStyle="1" w:styleId="FormName">
    <w:name w:val="Form Name"/>
    <w:basedOn w:val="Normal"/>
    <w:next w:val="Normal"/>
    <w:link w:val="FormNameChar"/>
    <w:rsid w:val="00866F1C"/>
    <w:pPr>
      <w:tabs>
        <w:tab w:val="right" w:pos="9044"/>
      </w:tabs>
      <w:spacing w:after="120"/>
    </w:pPr>
    <w:rPr>
      <w:b/>
      <w:sz w:val="32"/>
      <w:szCs w:val="22"/>
    </w:rPr>
  </w:style>
  <w:style w:type="character" w:customStyle="1" w:styleId="FormNameChar">
    <w:name w:val="Form Name Char"/>
    <w:link w:val="FormName"/>
    <w:rsid w:val="00866F1C"/>
    <w:rPr>
      <w:rFonts w:ascii="Arial" w:hAnsi="Arial"/>
      <w:b/>
      <w:sz w:val="32"/>
      <w:szCs w:val="22"/>
      <w:lang w:val="en-AU" w:eastAsia="en-AU"/>
    </w:rPr>
  </w:style>
  <w:style w:type="paragraph" w:customStyle="1" w:styleId="FormText">
    <w:name w:val="Form Text"/>
    <w:basedOn w:val="Normal"/>
    <w:rsid w:val="00866F1C"/>
    <w:pPr>
      <w:spacing w:after="0"/>
    </w:pPr>
  </w:style>
  <w:style w:type="character" w:customStyle="1" w:styleId="HeaderChar">
    <w:name w:val="Header Char"/>
    <w:basedOn w:val="DefaultParagraphFont"/>
    <w:link w:val="Header"/>
    <w:uiPriority w:val="99"/>
    <w:rsid w:val="00866F1C"/>
    <w:rPr>
      <w:rFonts w:ascii="Arial" w:hAnsi="Arial"/>
      <w:b/>
      <w:sz w:val="22"/>
      <w:lang w:val="en-AU" w:eastAsia="en-AU"/>
    </w:rPr>
  </w:style>
  <w:style w:type="character" w:customStyle="1" w:styleId="Heading3Char">
    <w:name w:val="Heading 3 Char"/>
    <w:basedOn w:val="DefaultParagraphFont"/>
    <w:link w:val="Heading3"/>
    <w:rsid w:val="00866F1C"/>
    <w:rPr>
      <w:rFonts w:ascii="Arial" w:hAnsi="Arial" w:cs="Arial"/>
      <w:b/>
      <w:bCs/>
      <w:sz w:val="24"/>
      <w:szCs w:val="26"/>
      <w:lang w:val="en-US" w:eastAsia="en-AU"/>
    </w:rPr>
  </w:style>
  <w:style w:type="character" w:customStyle="1" w:styleId="Heading4Char">
    <w:name w:val="Heading 4 Char"/>
    <w:basedOn w:val="DefaultParagraphFont"/>
    <w:link w:val="Heading4"/>
    <w:uiPriority w:val="9"/>
    <w:rsid w:val="00866F1C"/>
    <w:rPr>
      <w:rFonts w:ascii="Arial" w:eastAsiaTheme="majorEastAsia" w:hAnsi="Arial" w:cstheme="majorBidi"/>
      <w:b/>
      <w:bCs/>
      <w:iCs/>
      <w:color w:val="606060"/>
      <w:sz w:val="22"/>
      <w:lang w:val="en-AU" w:eastAsia="en-AU"/>
    </w:rPr>
  </w:style>
  <w:style w:type="character" w:customStyle="1" w:styleId="Heading5Char">
    <w:name w:val="Heading 5 Char"/>
    <w:basedOn w:val="DefaultParagraphFont"/>
    <w:link w:val="Heading5"/>
    <w:uiPriority w:val="9"/>
    <w:rsid w:val="00866F1C"/>
    <w:rPr>
      <w:rFonts w:asciiTheme="majorHAnsi" w:eastAsiaTheme="majorEastAsia" w:hAnsiTheme="majorHAnsi" w:cstheme="majorBidi"/>
      <w:color w:val="1F4D78" w:themeColor="accent1" w:themeShade="7F"/>
      <w:sz w:val="22"/>
      <w:lang w:val="en-AU" w:eastAsia="en-AU"/>
    </w:rPr>
  </w:style>
  <w:style w:type="character" w:customStyle="1" w:styleId="Heading6Char">
    <w:name w:val="Heading 6 Char"/>
    <w:basedOn w:val="DefaultParagraphFont"/>
    <w:link w:val="Heading6"/>
    <w:uiPriority w:val="9"/>
    <w:rsid w:val="00866F1C"/>
    <w:rPr>
      <w:rFonts w:asciiTheme="majorHAnsi" w:eastAsiaTheme="majorEastAsia" w:hAnsiTheme="majorHAnsi" w:cstheme="majorBidi"/>
      <w:i/>
      <w:iCs/>
      <w:color w:val="1F4D78" w:themeColor="accent1" w:themeShade="7F"/>
      <w:sz w:val="22"/>
      <w:lang w:val="en-AU" w:eastAsia="en-AU"/>
    </w:rPr>
  </w:style>
  <w:style w:type="character" w:customStyle="1" w:styleId="Heading7Char">
    <w:name w:val="Heading 7 Char"/>
    <w:basedOn w:val="DefaultParagraphFont"/>
    <w:link w:val="Heading7"/>
    <w:uiPriority w:val="9"/>
    <w:rsid w:val="00866F1C"/>
    <w:rPr>
      <w:rFonts w:asciiTheme="majorHAnsi" w:eastAsiaTheme="majorEastAsia" w:hAnsiTheme="majorHAnsi" w:cstheme="majorBidi"/>
      <w:i/>
      <w:iCs/>
      <w:color w:val="404040" w:themeColor="text1" w:themeTint="BF"/>
      <w:sz w:val="22"/>
      <w:lang w:val="en-AU" w:eastAsia="en-AU"/>
    </w:rPr>
  </w:style>
  <w:style w:type="character" w:customStyle="1" w:styleId="Heading8Char">
    <w:name w:val="Heading 8 Char"/>
    <w:basedOn w:val="DefaultParagraphFont"/>
    <w:link w:val="Heading8"/>
    <w:uiPriority w:val="9"/>
    <w:rsid w:val="00866F1C"/>
    <w:rPr>
      <w:rFonts w:asciiTheme="majorHAnsi" w:eastAsiaTheme="majorEastAsia" w:hAnsiTheme="majorHAnsi" w:cstheme="majorBidi"/>
      <w:color w:val="404040" w:themeColor="text1" w:themeTint="BF"/>
      <w:lang w:val="en-AU" w:eastAsia="en-AU"/>
    </w:rPr>
  </w:style>
  <w:style w:type="character" w:customStyle="1" w:styleId="Heading9Char">
    <w:name w:val="Heading 9 Char"/>
    <w:basedOn w:val="DefaultParagraphFont"/>
    <w:link w:val="Heading9"/>
    <w:uiPriority w:val="9"/>
    <w:rsid w:val="00866F1C"/>
    <w:rPr>
      <w:rFonts w:asciiTheme="majorHAnsi" w:eastAsiaTheme="majorEastAsia" w:hAnsiTheme="majorHAnsi" w:cstheme="majorBidi"/>
      <w:i/>
      <w:iCs/>
      <w:color w:val="404040" w:themeColor="text1" w:themeTint="BF"/>
      <w:lang w:val="en-AU" w:eastAsia="en-AU"/>
    </w:rPr>
  </w:style>
  <w:style w:type="paragraph" w:customStyle="1" w:styleId="HelvBullSub">
    <w:name w:val="Helv BullSub"/>
    <w:link w:val="HelvBullSubChar"/>
    <w:rsid w:val="00866F1C"/>
    <w:pPr>
      <w:widowControl w:val="0"/>
      <w:numPr>
        <w:ilvl w:val="1"/>
        <w:numId w:val="21"/>
      </w:numPr>
      <w:overflowPunct w:val="0"/>
      <w:autoSpaceDE w:val="0"/>
      <w:autoSpaceDN w:val="0"/>
      <w:adjustRightInd w:val="0"/>
      <w:spacing w:line="213" w:lineRule="auto"/>
      <w:jc w:val="both"/>
    </w:pPr>
    <w:rPr>
      <w:rFonts w:ascii="Helvetica" w:hAnsi="Helvetica" w:cs="Helvetica"/>
      <w:sz w:val="22"/>
      <w:szCs w:val="22"/>
      <w:lang w:val="en-US" w:eastAsia="en-US"/>
    </w:rPr>
  </w:style>
  <w:style w:type="character" w:customStyle="1" w:styleId="HelvBullSubChar">
    <w:name w:val="Helv BullSub Char"/>
    <w:link w:val="HelvBullSub"/>
    <w:rsid w:val="00866F1C"/>
    <w:rPr>
      <w:rFonts w:ascii="Helvetica" w:hAnsi="Helvetica" w:cs="Helvetica"/>
      <w:sz w:val="22"/>
      <w:szCs w:val="22"/>
      <w:lang w:val="en-US" w:eastAsia="en-US"/>
    </w:rPr>
  </w:style>
  <w:style w:type="paragraph" w:customStyle="1" w:styleId="HelvHead1">
    <w:name w:val="Helv Head 1"/>
    <w:link w:val="HelvHead1Char"/>
    <w:rsid w:val="00866F1C"/>
    <w:pPr>
      <w:widowControl w:val="0"/>
      <w:autoSpaceDE w:val="0"/>
      <w:autoSpaceDN w:val="0"/>
      <w:adjustRightInd w:val="0"/>
      <w:spacing w:before="360" w:after="120"/>
      <w:ind w:left="6"/>
    </w:pPr>
    <w:rPr>
      <w:rFonts w:ascii="Helvetica" w:hAnsi="Helvetica" w:cs="Helvetica"/>
      <w:b/>
      <w:bCs/>
      <w:color w:val="013861"/>
      <w:sz w:val="28"/>
      <w:szCs w:val="28"/>
      <w:lang w:val="en-US" w:eastAsia="en-US"/>
    </w:rPr>
  </w:style>
  <w:style w:type="character" w:customStyle="1" w:styleId="HelvHead1Char">
    <w:name w:val="Helv Head 1 Char"/>
    <w:basedOn w:val="DefaultParagraphFont"/>
    <w:link w:val="HelvHead1"/>
    <w:rsid w:val="00866F1C"/>
    <w:rPr>
      <w:rFonts w:ascii="Helvetica" w:hAnsi="Helvetica" w:cs="Helvetica"/>
      <w:b/>
      <w:bCs/>
      <w:color w:val="013861"/>
      <w:sz w:val="28"/>
      <w:szCs w:val="28"/>
      <w:lang w:val="en-US" w:eastAsia="en-US"/>
    </w:rPr>
  </w:style>
  <w:style w:type="paragraph" w:customStyle="1" w:styleId="HelvHead2">
    <w:name w:val="Helv Head 2"/>
    <w:link w:val="HelvHead2Char"/>
    <w:rsid w:val="00866F1C"/>
    <w:pPr>
      <w:widowControl w:val="0"/>
      <w:autoSpaceDE w:val="0"/>
      <w:autoSpaceDN w:val="0"/>
      <w:adjustRightInd w:val="0"/>
      <w:spacing w:after="60"/>
      <w:ind w:left="6"/>
    </w:pPr>
    <w:rPr>
      <w:rFonts w:ascii="Helvetica" w:hAnsi="Helvetica" w:cs="Helvetica"/>
      <w:b/>
      <w:bCs/>
      <w:color w:val="013861"/>
      <w:sz w:val="24"/>
      <w:szCs w:val="24"/>
      <w:lang w:val="en-US" w:eastAsia="en-US"/>
    </w:rPr>
  </w:style>
  <w:style w:type="character" w:customStyle="1" w:styleId="HelvHead2Char">
    <w:name w:val="Helv Head 2 Char"/>
    <w:basedOn w:val="DefaultParagraphFont"/>
    <w:link w:val="HelvHead2"/>
    <w:rsid w:val="00866F1C"/>
    <w:rPr>
      <w:rFonts w:ascii="Helvetica" w:hAnsi="Helvetica" w:cs="Helvetica"/>
      <w:b/>
      <w:bCs/>
      <w:color w:val="013861"/>
      <w:sz w:val="24"/>
      <w:szCs w:val="24"/>
      <w:lang w:val="en-US" w:eastAsia="en-US"/>
    </w:rPr>
  </w:style>
  <w:style w:type="paragraph" w:customStyle="1" w:styleId="HelvNorm">
    <w:name w:val="Helv Norm"/>
    <w:basedOn w:val="Normal"/>
    <w:link w:val="HelvNormChar"/>
    <w:rsid w:val="00866F1C"/>
    <w:pPr>
      <w:overflowPunct w:val="0"/>
      <w:autoSpaceDE w:val="0"/>
      <w:autoSpaceDN w:val="0"/>
      <w:adjustRightInd w:val="0"/>
      <w:spacing w:before="180" w:after="120"/>
      <w:ind w:left="6"/>
      <w:jc w:val="both"/>
    </w:pPr>
    <w:rPr>
      <w:rFonts w:cs="Helvetica"/>
      <w:bCs/>
      <w:szCs w:val="22"/>
      <w:lang w:val="en-US" w:eastAsia="en-US"/>
    </w:rPr>
  </w:style>
  <w:style w:type="character" w:customStyle="1" w:styleId="HelvNormChar">
    <w:name w:val="Helv Norm Char"/>
    <w:basedOn w:val="DefaultParagraphFont"/>
    <w:link w:val="HelvNorm"/>
    <w:rsid w:val="00866F1C"/>
    <w:rPr>
      <w:rFonts w:ascii="Arial" w:hAnsi="Arial" w:cs="Helvetica"/>
      <w:bCs/>
      <w:sz w:val="22"/>
      <w:szCs w:val="22"/>
      <w:lang w:val="en-US" w:eastAsia="en-US"/>
    </w:rPr>
  </w:style>
  <w:style w:type="paragraph" w:styleId="NoSpacing">
    <w:name w:val="No Spacing"/>
    <w:uiPriority w:val="1"/>
    <w:qFormat/>
    <w:rsid w:val="00866F1C"/>
    <w:rPr>
      <w:rFonts w:ascii="Arial" w:eastAsia="Calibri" w:hAnsi="Arial"/>
      <w:sz w:val="22"/>
      <w:lang w:val="en-AU" w:eastAsia="en-US"/>
    </w:rPr>
  </w:style>
  <w:style w:type="paragraph" w:styleId="NormalWeb">
    <w:name w:val="Normal (Web)"/>
    <w:basedOn w:val="Normal"/>
    <w:uiPriority w:val="99"/>
    <w:unhideWhenUsed/>
    <w:rsid w:val="00866F1C"/>
    <w:rPr>
      <w:rFonts w:ascii="Times New Roman" w:hAnsi="Times New Roman"/>
      <w:sz w:val="24"/>
      <w:szCs w:val="24"/>
    </w:rPr>
  </w:style>
  <w:style w:type="paragraph" w:customStyle="1" w:styleId="NTGFooter2deptpagenum">
    <w:name w:val="NTG Footer 2 dept &amp; page num"/>
    <w:basedOn w:val="Normal"/>
    <w:link w:val="NTGFooter2deptpagenumChar"/>
    <w:uiPriority w:val="7"/>
    <w:qFormat/>
    <w:rsid w:val="00866F1C"/>
    <w:pPr>
      <w:widowControl/>
      <w:tabs>
        <w:tab w:val="right" w:pos="9639"/>
      </w:tabs>
      <w:spacing w:after="0"/>
    </w:pPr>
    <w:rPr>
      <w:sz w:val="20"/>
    </w:rPr>
  </w:style>
  <w:style w:type="character" w:customStyle="1" w:styleId="NTGFooter2deptpagenumChar">
    <w:name w:val="NTG Footer 2 dept &amp; page num Char"/>
    <w:basedOn w:val="DefaultParagraphFont"/>
    <w:link w:val="NTGFooter2deptpagenum"/>
    <w:uiPriority w:val="7"/>
    <w:rsid w:val="00866F1C"/>
    <w:rPr>
      <w:rFonts w:ascii="Arial" w:hAnsi="Arial"/>
      <w:lang w:val="en-AU" w:eastAsia="en-AU"/>
    </w:rPr>
  </w:style>
  <w:style w:type="paragraph" w:customStyle="1" w:styleId="NTGFooterDepartmentof">
    <w:name w:val="NTG Footer Department of"/>
    <w:link w:val="NTGFooterDepartmentofChar"/>
    <w:uiPriority w:val="7"/>
    <w:qFormat/>
    <w:rsid w:val="00866F1C"/>
    <w:pPr>
      <w:widowControl w:val="0"/>
      <w:tabs>
        <w:tab w:val="right" w:pos="9026"/>
      </w:tabs>
    </w:pPr>
    <w:rPr>
      <w:rFonts w:ascii="Arial" w:eastAsia="Calibri" w:hAnsi="Arial" w:cs="Arial"/>
      <w:caps/>
      <w:szCs w:val="16"/>
      <w:lang w:val="en-AU" w:eastAsia="en-US"/>
    </w:rPr>
  </w:style>
  <w:style w:type="character" w:customStyle="1" w:styleId="NTGFooterDepartmentofChar">
    <w:name w:val="NTG Footer Department of Char"/>
    <w:basedOn w:val="DefaultParagraphFont"/>
    <w:link w:val="NTGFooterDepartmentof"/>
    <w:uiPriority w:val="7"/>
    <w:rsid w:val="00866F1C"/>
    <w:rPr>
      <w:rFonts w:ascii="Arial" w:eastAsia="Calibri" w:hAnsi="Arial" w:cs="Arial"/>
      <w:caps/>
      <w:szCs w:val="16"/>
      <w:lang w:val="en-AU" w:eastAsia="en-US"/>
    </w:rPr>
  </w:style>
  <w:style w:type="paragraph" w:customStyle="1" w:styleId="Nums">
    <w:name w:val="Nums"/>
    <w:basedOn w:val="HelvNorm"/>
    <w:link w:val="NumsChar"/>
    <w:qFormat/>
    <w:rsid w:val="00866F1C"/>
    <w:pPr>
      <w:numPr>
        <w:numId w:val="22"/>
      </w:numPr>
      <w:spacing w:before="0" w:after="200"/>
    </w:pPr>
    <w:rPr>
      <w:rFonts w:cs="Arial"/>
    </w:rPr>
  </w:style>
  <w:style w:type="character" w:customStyle="1" w:styleId="NumsChar">
    <w:name w:val="Nums Char"/>
    <w:basedOn w:val="BulletChar"/>
    <w:link w:val="Nums"/>
    <w:rsid w:val="00866F1C"/>
    <w:rPr>
      <w:rFonts w:ascii="Arial" w:hAnsi="Arial" w:cs="Arial"/>
      <w:bCs/>
      <w:sz w:val="22"/>
      <w:szCs w:val="22"/>
      <w:lang w:val="en-US" w:eastAsia="en-US"/>
    </w:rPr>
  </w:style>
  <w:style w:type="character" w:styleId="PageNumber">
    <w:name w:val="page number"/>
    <w:basedOn w:val="DefaultParagraphFont"/>
    <w:rsid w:val="00866F1C"/>
  </w:style>
  <w:style w:type="character" w:styleId="PlaceholderText">
    <w:name w:val="Placeholder Text"/>
    <w:basedOn w:val="DefaultParagraphFont"/>
    <w:uiPriority w:val="99"/>
    <w:semiHidden/>
    <w:rsid w:val="00866F1C"/>
    <w:rPr>
      <w:color w:val="808080"/>
    </w:rPr>
  </w:style>
  <w:style w:type="paragraph" w:customStyle="1" w:styleId="Reporttitle">
    <w:name w:val="Report title"/>
    <w:uiPriority w:val="99"/>
    <w:rsid w:val="00866F1C"/>
    <w:pPr>
      <w:tabs>
        <w:tab w:val="left" w:pos="2805"/>
      </w:tabs>
      <w:autoSpaceDE w:val="0"/>
      <w:autoSpaceDN w:val="0"/>
      <w:adjustRightInd w:val="0"/>
      <w:spacing w:line="700" w:lineRule="atLeast"/>
      <w:textAlignment w:val="center"/>
    </w:pPr>
    <w:rPr>
      <w:rFonts w:ascii="Lato Black" w:eastAsiaTheme="minorHAnsi" w:hAnsi="Lato Black" w:cs="Lato Black"/>
      <w:color w:val="CB6015"/>
      <w:sz w:val="66"/>
      <w:szCs w:val="66"/>
      <w:lang w:val="en-GB" w:eastAsia="en-US"/>
    </w:rPr>
  </w:style>
  <w:style w:type="numbering" w:customStyle="1" w:styleId="StyleBulletedSymbolsymbolLeft063cmHanging063cm">
    <w:name w:val="Style Bulleted Symbol (symbol) Left:  0.63 cm Hanging:  0.63 cm"/>
    <w:basedOn w:val="NoList"/>
    <w:rsid w:val="00866F1C"/>
    <w:pPr>
      <w:numPr>
        <w:numId w:val="23"/>
      </w:numPr>
    </w:pPr>
  </w:style>
  <w:style w:type="paragraph" w:customStyle="1" w:styleId="SubTitle">
    <w:name w:val="Sub Title"/>
    <w:basedOn w:val="Normal"/>
    <w:autoRedefine/>
    <w:semiHidden/>
    <w:rsid w:val="00866F1C"/>
    <w:pPr>
      <w:spacing w:after="160" w:line="240" w:lineRule="exact"/>
    </w:pPr>
    <w:rPr>
      <w:rFonts w:ascii="Verdana" w:hAnsi="Verdana"/>
      <w:szCs w:val="24"/>
      <w:lang w:val="en-US"/>
    </w:rPr>
  </w:style>
  <w:style w:type="paragraph" w:styleId="Subtitle0">
    <w:name w:val="Subtitle"/>
    <w:basedOn w:val="Normal"/>
    <w:next w:val="Normal"/>
    <w:link w:val="SubtitleChar"/>
    <w:uiPriority w:val="11"/>
    <w:qFormat/>
    <w:rsid w:val="00866F1C"/>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0"/>
    <w:uiPriority w:val="11"/>
    <w:rsid w:val="00866F1C"/>
    <w:rPr>
      <w:rFonts w:ascii="Arial" w:eastAsiaTheme="majorEastAsia" w:hAnsi="Arial" w:cstheme="majorBidi"/>
      <w:sz w:val="24"/>
      <w:szCs w:val="24"/>
      <w:lang w:val="en-AU" w:eastAsia="en-AU"/>
    </w:rPr>
  </w:style>
  <w:style w:type="table" w:styleId="TableGrid">
    <w:name w:val="Table Grid"/>
    <w:basedOn w:val="TableNormal"/>
    <w:uiPriority w:val="59"/>
    <w:rsid w:val="00866F1C"/>
    <w:rPr>
      <w:rFonts w:asciiTheme="minorHAnsi" w:eastAsiaTheme="minorHAnsi" w:hAnsiTheme="minorHAnsi" w:cstheme="minorBid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Reporttitle"/>
    <w:next w:val="Normal"/>
    <w:link w:val="TitleChar"/>
    <w:uiPriority w:val="10"/>
    <w:qFormat/>
    <w:rsid w:val="00866F1C"/>
    <w:pPr>
      <w:tabs>
        <w:tab w:val="clear" w:pos="2805"/>
      </w:tabs>
      <w:spacing w:before="1000"/>
    </w:pPr>
    <w:rPr>
      <w:rFonts w:ascii="Arial Black" w:hAnsi="Arial Black"/>
    </w:rPr>
  </w:style>
  <w:style w:type="character" w:customStyle="1" w:styleId="TitleChar">
    <w:name w:val="Title Char"/>
    <w:basedOn w:val="DefaultParagraphFont"/>
    <w:link w:val="Title"/>
    <w:uiPriority w:val="10"/>
    <w:rsid w:val="00866F1C"/>
    <w:rPr>
      <w:rFonts w:ascii="Arial Black" w:eastAsiaTheme="minorHAnsi" w:hAnsi="Arial Black" w:cs="Lato Black"/>
      <w:color w:val="CB6015"/>
      <w:sz w:val="66"/>
      <w:szCs w:val="66"/>
      <w:lang w:val="en-GB" w:eastAsia="en-US"/>
    </w:rPr>
  </w:style>
  <w:style w:type="paragraph" w:styleId="TOC1">
    <w:name w:val="toc 1"/>
    <w:basedOn w:val="Normal"/>
    <w:next w:val="Normal"/>
    <w:autoRedefine/>
    <w:uiPriority w:val="39"/>
    <w:unhideWhenUsed/>
    <w:rsid w:val="00866F1C"/>
    <w:pPr>
      <w:tabs>
        <w:tab w:val="left" w:pos="567"/>
        <w:tab w:val="right" w:leader="dot" w:pos="9061"/>
      </w:tabs>
      <w:spacing w:before="100" w:after="60"/>
      <w:ind w:left="567" w:hanging="567"/>
      <w:jc w:val="both"/>
    </w:pPr>
    <w:rPr>
      <w:rFonts w:eastAsiaTheme="minorHAnsi" w:cs="Helvetica"/>
      <w:b/>
      <w:szCs w:val="22"/>
      <w:lang w:eastAsia="en-US"/>
    </w:rPr>
  </w:style>
  <w:style w:type="paragraph" w:styleId="TOC2">
    <w:name w:val="toc 2"/>
    <w:basedOn w:val="Normal"/>
    <w:next w:val="Normal"/>
    <w:autoRedefine/>
    <w:uiPriority w:val="39"/>
    <w:unhideWhenUsed/>
    <w:rsid w:val="00866F1C"/>
    <w:pPr>
      <w:tabs>
        <w:tab w:val="left" w:pos="1418"/>
        <w:tab w:val="right" w:leader="dot" w:pos="9061"/>
      </w:tabs>
      <w:spacing w:after="100"/>
      <w:ind w:left="1134" w:hanging="567"/>
      <w:jc w:val="both"/>
    </w:pPr>
    <w:rPr>
      <w:rFonts w:eastAsiaTheme="minorHAnsi" w:cs="Helvetica"/>
      <w:szCs w:val="22"/>
      <w:lang w:eastAsia="en-US"/>
    </w:rPr>
  </w:style>
  <w:style w:type="paragraph" w:styleId="TOC3">
    <w:name w:val="toc 3"/>
    <w:basedOn w:val="Normal"/>
    <w:next w:val="Normal"/>
    <w:autoRedefine/>
    <w:uiPriority w:val="39"/>
    <w:unhideWhenUsed/>
    <w:rsid w:val="00866F1C"/>
    <w:pPr>
      <w:tabs>
        <w:tab w:val="left" w:pos="1985"/>
        <w:tab w:val="right" w:leader="dot" w:pos="9061"/>
      </w:tabs>
      <w:spacing w:after="100"/>
      <w:ind w:left="1985" w:hanging="851"/>
      <w:jc w:val="both"/>
    </w:pPr>
    <w:rPr>
      <w:rFonts w:eastAsiaTheme="minorHAnsi" w:cs="Helvetica"/>
      <w:szCs w:val="22"/>
      <w:lang w:eastAsia="en-US"/>
    </w:rPr>
  </w:style>
  <w:style w:type="paragraph" w:styleId="TOC4">
    <w:name w:val="toc 4"/>
    <w:basedOn w:val="Normal"/>
    <w:next w:val="Normal"/>
    <w:autoRedefine/>
    <w:uiPriority w:val="39"/>
    <w:unhideWhenUsed/>
    <w:rsid w:val="00866F1C"/>
    <w:pPr>
      <w:tabs>
        <w:tab w:val="left" w:pos="2126"/>
        <w:tab w:val="right" w:leader="dot" w:pos="9061"/>
      </w:tabs>
      <w:spacing w:after="100"/>
      <w:ind w:left="1985" w:hanging="851"/>
    </w:pPr>
  </w:style>
  <w:style w:type="paragraph" w:styleId="TOC5">
    <w:name w:val="toc 5"/>
    <w:basedOn w:val="Normal"/>
    <w:next w:val="Normal"/>
    <w:autoRedefine/>
    <w:uiPriority w:val="39"/>
    <w:unhideWhenUsed/>
    <w:rsid w:val="00866F1C"/>
    <w:pPr>
      <w:spacing w:after="100"/>
      <w:ind w:left="880"/>
    </w:pPr>
  </w:style>
  <w:style w:type="paragraph" w:styleId="TOCHeading">
    <w:name w:val="TOC Heading"/>
    <w:basedOn w:val="Heading1"/>
    <w:next w:val="Normal"/>
    <w:uiPriority w:val="39"/>
    <w:semiHidden/>
    <w:unhideWhenUsed/>
    <w:qFormat/>
    <w:rsid w:val="00866F1C"/>
    <w:pPr>
      <w:numPr>
        <w:numId w:val="0"/>
      </w:numPr>
      <w:tabs>
        <w:tab w:val="left" w:pos="720"/>
      </w:tabs>
      <w:spacing w:after="0"/>
      <w:outlineLvl w:val="9"/>
    </w:pPr>
    <w:rPr>
      <w:rFonts w:asciiTheme="majorHAnsi" w:hAnsiTheme="majorHAnsi"/>
      <w:lang w:val="en-US"/>
    </w:rPr>
  </w:style>
  <w:style w:type="paragraph" w:customStyle="1" w:styleId="WebAddress">
    <w:name w:val="WebAddress"/>
    <w:basedOn w:val="AgencyName"/>
    <w:rsid w:val="00866F1C"/>
    <w:pPr>
      <w:jc w:val="right"/>
    </w:pPr>
    <w:rPr>
      <w:color w:val="auto"/>
      <w:spacing w:val="8"/>
      <w:sz w:val="28"/>
      <w:szCs w:val="28"/>
    </w:rPr>
  </w:style>
  <w:style w:type="paragraph" w:styleId="ListBullet3">
    <w:name w:val="List Bullet 3"/>
    <w:basedOn w:val="Normal"/>
    <w:autoRedefine/>
    <w:rsid w:val="00977DD0"/>
    <w:pPr>
      <w:keepNext/>
      <w:numPr>
        <w:numId w:val="31"/>
      </w:numPr>
      <w:spacing w:after="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ransport.nt.gov.au/infrastructure/technical-standards-guidelines-and-specifications/materials-testing-manua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tucows.nt.gov.au/infrastructure/techspecs/documents/ARRB_specifications_RCG.pdf"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K a p i s h F i l e n a m e T o U r i M a p p i n g s   x m l n s : x s i = " h t t p : / / w w w . w 3 . o r g / 2 0 0 1 / X M L S c h e m a - i n s t a n c e "   x m l n s : x s d = " h t t p : / / w w w . w 3 . o r g / 2 0 0 1 / X M L S c h e m a " / > 
</file>

<file path=customXml/itemProps1.xml><?xml version="1.0" encoding="utf-8"?>
<ds:datastoreItem xmlns:ds="http://schemas.openxmlformats.org/officeDocument/2006/customXml" ds:itemID="{F7C6DECB-5156-466A-B09C-CFD713E78EC3}">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1903</Words>
  <Characters>10849</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11</vt:lpstr>
    </vt:vector>
  </TitlesOfParts>
  <Company>Transport and Works</Company>
  <LinksUpToDate>false</LinksUpToDate>
  <CharactersWithSpaces>12727</CharactersWithSpaces>
  <SharedDoc>false</SharedDoc>
  <HLinks>
    <vt:vector size="6" baseType="variant">
      <vt:variant>
        <vt:i4>7733372</vt:i4>
      </vt:variant>
      <vt:variant>
        <vt:i4>0</vt:i4>
      </vt:variant>
      <vt:variant>
        <vt:i4>0</vt:i4>
      </vt:variant>
      <vt:variant>
        <vt:i4>5</vt:i4>
      </vt:variant>
      <vt:variant>
        <vt:lpwstr>https://infrastructure.nt.gov.au/specification-services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dc:title>
  <dc:subject/>
  <dc:creator>e5c</dc:creator>
  <cp:keywords/>
  <cp:lastModifiedBy>Robert Haakmeester</cp:lastModifiedBy>
  <cp:revision>2</cp:revision>
  <cp:lastPrinted>2018-08-19T22:59:00Z</cp:lastPrinted>
  <dcterms:created xsi:type="dcterms:W3CDTF">2022-03-10T04:56:00Z</dcterms:created>
  <dcterms:modified xsi:type="dcterms:W3CDTF">2022-03-10T04:56:00Z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e_ActiveDocsURL">
    <vt:lpwstr>http://dciswtdmp01-uat.cprod.corp.ntgov/activedocsdev</vt:lpwstr>
  </property>
  <property fmtid="{D5CDD505-2E9C-101B-9397-08002B2CF9AE}" pid="3" name="ade_DocumentID">
    <vt:lpwstr>9DB209ACE60140B1AEC27D84AD38EE37</vt:lpwstr>
  </property>
  <property fmtid="{D5CDD505-2E9C-101B-9397-08002B2CF9AE}" pid="4" name="ade_ContentType">
    <vt:lpwstr>2</vt:lpwstr>
  </property>
</Properties>
</file>