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94CC9" w14:textId="77777777" w:rsidR="00DB3166" w:rsidRDefault="001805C4" w:rsidP="0082636B">
      <w:pPr>
        <w:pStyle w:val="Heading1"/>
      </w:pPr>
      <w:r>
        <w:t>DIRECTIONAL</w:t>
      </w:r>
      <w:r w:rsidR="00542B40">
        <w:t xml:space="preserve"> BORING</w:t>
      </w:r>
    </w:p>
    <w:p w14:paraId="4753A604" w14:textId="1657D506" w:rsidR="006C166E" w:rsidRPr="006C166E" w:rsidRDefault="0005133C" w:rsidP="00926FE5">
      <w:r>
        <w:t xml:space="preserve">DIPL Roadworks Master – </w:t>
      </w:r>
      <w:r w:rsidR="00B20BE4">
        <w:t>March</w:t>
      </w:r>
      <w:bookmarkStart w:id="0" w:name="_GoBack"/>
      <w:bookmarkEnd w:id="0"/>
      <w:r w:rsidR="004333B5">
        <w:t xml:space="preserve"> 202</w:t>
      </w:r>
      <w:r w:rsidR="00B20BE4">
        <w:t>2</w:t>
      </w:r>
    </w:p>
    <w:p w14:paraId="3A46BCA9" w14:textId="77777777" w:rsidR="0005133C" w:rsidRPr="00C20555" w:rsidRDefault="0005133C" w:rsidP="0005133C">
      <w:pPr>
        <w:pStyle w:val="Heading2"/>
        <w:numPr>
          <w:ilvl w:val="1"/>
          <w:numId w:val="10"/>
        </w:numPr>
        <w:rPr>
          <w:lang w:val="en-AU"/>
        </w:rPr>
      </w:pPr>
      <w:r w:rsidRPr="00C20555">
        <w:rPr>
          <w:lang w:val="en-AU"/>
        </w:rPr>
        <w:t>General</w:t>
      </w:r>
    </w:p>
    <w:p w14:paraId="46C064C7" w14:textId="77777777" w:rsidR="0005133C" w:rsidRDefault="0005133C" w:rsidP="0005133C">
      <w:r w:rsidRPr="00C20555">
        <w:t>This section specifies the</w:t>
      </w:r>
      <w:r>
        <w:t xml:space="preserve"> underground boring of passages for the</w:t>
      </w:r>
      <w:r w:rsidRPr="00C20555">
        <w:t xml:space="preserve"> installation of piping</w:t>
      </w:r>
      <w:r>
        <w:t>, piped services, or cabled services,</w:t>
      </w:r>
      <w:r w:rsidRPr="00C20555">
        <w:t xml:space="preserve"> beneath trafficked surfaces, buildings or other nominated areas without trenching, disruption to traffic</w:t>
      </w:r>
      <w:r>
        <w:t>,</w:t>
      </w:r>
      <w:r w:rsidRPr="00C20555">
        <w:t xml:space="preserve"> or subsidence.</w:t>
      </w:r>
    </w:p>
    <w:p w14:paraId="5DE707C6" w14:textId="77777777" w:rsidR="0005133C" w:rsidRDefault="0005133C" w:rsidP="0005133C">
      <w:pPr>
        <w:pStyle w:val="Heading2"/>
        <w:numPr>
          <w:ilvl w:val="1"/>
          <w:numId w:val="10"/>
        </w:numPr>
      </w:pPr>
      <w:r>
        <w:t>Cross References</w:t>
      </w:r>
    </w:p>
    <w:p w14:paraId="253A3ABA" w14:textId="77777777" w:rsidR="004333B5" w:rsidRDefault="004333B5" w:rsidP="0005133C">
      <w:r>
        <w:rPr>
          <w:lang w:val="en-US"/>
        </w:rPr>
        <w:t xml:space="preserve">MISCELLANEOUS PROVISIONS, </w:t>
      </w:r>
      <w:r>
        <w:rPr>
          <w:b/>
          <w:lang w:val="en-US"/>
        </w:rPr>
        <w:t>Services to Cross Below Existing Pavements</w:t>
      </w:r>
      <w:r>
        <w:t xml:space="preserve"> </w:t>
      </w:r>
    </w:p>
    <w:p w14:paraId="03221CD6" w14:textId="07821A5E" w:rsidR="0005133C" w:rsidRDefault="0005133C" w:rsidP="0005133C">
      <w:r>
        <w:t>DRAINAGE WORKS</w:t>
      </w:r>
    </w:p>
    <w:p w14:paraId="4EB8F26B" w14:textId="77777777" w:rsidR="0005133C" w:rsidRDefault="0005133C" w:rsidP="0005133C">
      <w:r>
        <w:t>LANDSCAPE</w:t>
      </w:r>
    </w:p>
    <w:p w14:paraId="2838C0F3" w14:textId="77777777" w:rsidR="0005133C" w:rsidRDefault="0005133C" w:rsidP="0005133C">
      <w:r>
        <w:t>DUCTING AND CONDUITS</w:t>
      </w:r>
    </w:p>
    <w:p w14:paraId="244EFF19" w14:textId="77777777" w:rsidR="0005133C" w:rsidRDefault="0005133C" w:rsidP="0005133C">
      <w:r>
        <w:t>TRAFFIC CONTROL SIGNALS AND INTELLIGENT TRANSPORT SYSTEMS</w:t>
      </w:r>
    </w:p>
    <w:p w14:paraId="059D2D3D" w14:textId="77777777" w:rsidR="0005133C" w:rsidRDefault="0005133C" w:rsidP="0005133C">
      <w:r>
        <w:t>TRAFFIC COUNTING STATIONS</w:t>
      </w:r>
    </w:p>
    <w:p w14:paraId="79DD37C0" w14:textId="77777777" w:rsidR="0005133C" w:rsidRPr="00C20555" w:rsidRDefault="0005133C" w:rsidP="0005133C">
      <w:r>
        <w:t>STREET LIGHTING</w:t>
      </w:r>
    </w:p>
    <w:p w14:paraId="36B0C29A" w14:textId="77777777" w:rsidR="0005133C" w:rsidRPr="00C20555" w:rsidRDefault="0005133C" w:rsidP="0005133C">
      <w:pPr>
        <w:pStyle w:val="Heading2"/>
        <w:numPr>
          <w:ilvl w:val="1"/>
          <w:numId w:val="10"/>
        </w:numPr>
        <w:rPr>
          <w:lang w:val="en-AU"/>
        </w:rPr>
      </w:pPr>
      <w:r w:rsidRPr="00C20555">
        <w:rPr>
          <w:lang w:val="en-AU"/>
        </w:rPr>
        <w:t>Standards</w:t>
      </w:r>
      <w:r>
        <w:rPr>
          <w:lang w:val="en-AU"/>
        </w:rPr>
        <w:t xml:space="preserve"> and Authorities</w:t>
      </w:r>
    </w:p>
    <w:p w14:paraId="36265F8B" w14:textId="77777777" w:rsidR="0005133C" w:rsidRPr="00C20555" w:rsidRDefault="0005133C" w:rsidP="0005133C">
      <w:r w:rsidRPr="00C20555">
        <w:t>Conform to the following Standard</w:t>
      </w:r>
      <w:r>
        <w:t>s</w:t>
      </w:r>
      <w:r w:rsidRPr="00C20555">
        <w:t xml:space="preserve"> unless specified otherwise:</w:t>
      </w:r>
    </w:p>
    <w:p w14:paraId="792C29EA" w14:textId="77777777" w:rsidR="0005133C" w:rsidRDefault="0005133C" w:rsidP="0005133C">
      <w:r>
        <w:t>AS 1579</w:t>
      </w:r>
      <w:r>
        <w:tab/>
        <w:t>Arc welded steel p</w:t>
      </w:r>
      <w:r w:rsidRPr="00C20555">
        <w:t>ipes an</w:t>
      </w:r>
      <w:r>
        <w:t>d fittings for water and waste w</w:t>
      </w:r>
      <w:r w:rsidRPr="00C20555">
        <w:t>ater.</w:t>
      </w:r>
    </w:p>
    <w:p w14:paraId="2E50EEB8" w14:textId="77777777" w:rsidR="0005133C" w:rsidRDefault="0005133C" w:rsidP="0005133C">
      <w:r>
        <w:t>AS/NZS 3000</w:t>
      </w:r>
      <w:r>
        <w:tab/>
      </w:r>
      <w:r>
        <w:tab/>
      </w:r>
      <w:r>
        <w:tab/>
        <w:t>Electrical installations (Australian/New Zealand Wiring Rules)</w:t>
      </w:r>
    </w:p>
    <w:p w14:paraId="71E2D44B" w14:textId="77777777" w:rsidR="0005133C" w:rsidRDefault="0005133C" w:rsidP="0005133C">
      <w:r>
        <w:t>AS/NZS 3500 (set)</w:t>
      </w:r>
      <w:r>
        <w:tab/>
      </w:r>
      <w:r>
        <w:tab/>
        <w:t>Plumbing and drainage</w:t>
      </w:r>
    </w:p>
    <w:p w14:paraId="25F73E14" w14:textId="77777777" w:rsidR="0005133C" w:rsidRDefault="0005133C" w:rsidP="0005133C">
      <w:r>
        <w:t>AS/NZS 4645</w:t>
      </w:r>
      <w:r>
        <w:tab/>
      </w:r>
      <w:r>
        <w:tab/>
      </w:r>
      <w:r>
        <w:tab/>
        <w:t>Gas distribution networks</w:t>
      </w:r>
    </w:p>
    <w:p w14:paraId="1915506C" w14:textId="77777777" w:rsidR="0005133C" w:rsidRDefault="0005133C" w:rsidP="0005133C">
      <w:r>
        <w:t>Conform to the requirements of the following Authorities if their services are to be installed in the bored passages:</w:t>
      </w:r>
    </w:p>
    <w:p w14:paraId="61BAF9D4" w14:textId="77777777" w:rsidR="0005133C" w:rsidRDefault="0005133C" w:rsidP="0005133C">
      <w:r>
        <w:t>Telstra</w:t>
      </w:r>
    </w:p>
    <w:p w14:paraId="5D0F1580" w14:textId="77777777" w:rsidR="0005133C" w:rsidRDefault="0005133C" w:rsidP="0005133C">
      <w:r>
        <w:t>NBN Corporation</w:t>
      </w:r>
    </w:p>
    <w:p w14:paraId="26B8C763" w14:textId="26C6FDCE" w:rsidR="0005133C" w:rsidRDefault="0005133C" w:rsidP="0005133C">
      <w:r>
        <w:t>Power</w:t>
      </w:r>
      <w:r w:rsidR="00926FE5">
        <w:t xml:space="preserve"> and </w:t>
      </w:r>
      <w:r>
        <w:t>Water Corporation</w:t>
      </w:r>
    </w:p>
    <w:p w14:paraId="19C5EC6C" w14:textId="77777777" w:rsidR="0005133C" w:rsidRDefault="0005133C" w:rsidP="0005133C">
      <w:r>
        <w:t>Jacana Energy</w:t>
      </w:r>
    </w:p>
    <w:p w14:paraId="590B9B56" w14:textId="77777777" w:rsidR="0005133C" w:rsidRDefault="0005133C" w:rsidP="0005133C">
      <w:r>
        <w:t>Territory Generation</w:t>
      </w:r>
    </w:p>
    <w:p w14:paraId="2D53239C" w14:textId="77777777" w:rsidR="0005133C" w:rsidRDefault="0005133C" w:rsidP="0005133C">
      <w:r>
        <w:t>Any gas supply agency or authority</w:t>
      </w:r>
    </w:p>
    <w:p w14:paraId="6989EAB1" w14:textId="77777777" w:rsidR="0005133C" w:rsidRDefault="0005133C" w:rsidP="0005133C">
      <w:r>
        <w:t>Any data service provider</w:t>
      </w:r>
    </w:p>
    <w:p w14:paraId="6AFD6C07" w14:textId="77777777" w:rsidR="0005133C" w:rsidRPr="00C20555" w:rsidRDefault="0005133C" w:rsidP="0005133C">
      <w:r>
        <w:t>Any other Agency or Authority</w:t>
      </w:r>
    </w:p>
    <w:p w14:paraId="17263FAF" w14:textId="77777777" w:rsidR="0005133C" w:rsidRPr="00C20555" w:rsidRDefault="0005133C" w:rsidP="00926FE5">
      <w:pPr>
        <w:pStyle w:val="Heading2"/>
        <w:keepNext/>
        <w:numPr>
          <w:ilvl w:val="1"/>
          <w:numId w:val="10"/>
        </w:numPr>
        <w:ind w:left="578" w:hanging="578"/>
        <w:rPr>
          <w:lang w:val="en-AU"/>
        </w:rPr>
      </w:pPr>
      <w:r w:rsidRPr="00C20555">
        <w:rPr>
          <w:lang w:val="en-AU"/>
        </w:rPr>
        <w:lastRenderedPageBreak/>
        <w:t xml:space="preserve">Proposed Method – </w:t>
      </w:r>
      <w:r>
        <w:rPr>
          <w:lang w:val="en-AU"/>
        </w:rPr>
        <w:t>hold point</w:t>
      </w:r>
    </w:p>
    <w:p w14:paraId="3165C8DC" w14:textId="77777777" w:rsidR="0005133C" w:rsidRDefault="0005133C" w:rsidP="0005133C">
      <w:r w:rsidRPr="004F3F31">
        <w:rPr>
          <w:b/>
        </w:rPr>
        <w:t>Hold point</w:t>
      </w:r>
      <w:r w:rsidRPr="00C20555">
        <w:t xml:space="preserve"> – Submit details of the proposed method of </w:t>
      </w:r>
      <w:r>
        <w:t>directional</w:t>
      </w:r>
      <w:r w:rsidRPr="00C20555">
        <w:t xml:space="preserve"> boring not less than 14 days prior to commencement of construction using that method</w:t>
      </w:r>
      <w:r>
        <w:t xml:space="preserve">. </w:t>
      </w:r>
      <w:r w:rsidRPr="00C20555">
        <w:t>Include details of proposed filling of cavities</w:t>
      </w:r>
      <w:r>
        <w:t xml:space="preserve">. </w:t>
      </w:r>
      <w:r w:rsidRPr="00C20555">
        <w:t>No disruption or excavation of the surface is to take place over the length nominated.</w:t>
      </w:r>
    </w:p>
    <w:p w14:paraId="28D760D0" w14:textId="77777777" w:rsidR="0005133C" w:rsidRPr="00C20555" w:rsidRDefault="0005133C" w:rsidP="0005133C">
      <w:r>
        <w:t>Co-ordinate boring works with the Authorities with jurisdiction over the services to be installed in the bored passages.</w:t>
      </w:r>
    </w:p>
    <w:p w14:paraId="69A9CA93" w14:textId="77777777" w:rsidR="0005133C" w:rsidRPr="00C20555" w:rsidRDefault="0005133C" w:rsidP="0005133C">
      <w:pPr>
        <w:pStyle w:val="Heading3"/>
        <w:numPr>
          <w:ilvl w:val="2"/>
          <w:numId w:val="10"/>
        </w:numPr>
        <w:rPr>
          <w:lang w:val="en-AU"/>
        </w:rPr>
      </w:pPr>
      <w:r>
        <w:t>Directional</w:t>
      </w:r>
      <w:r w:rsidRPr="00C20555">
        <w:rPr>
          <w:lang w:val="en-AU"/>
        </w:rPr>
        <w:t xml:space="preserve"> Boring With Pipe Casing</w:t>
      </w:r>
    </w:p>
    <w:p w14:paraId="31CD6064" w14:textId="77777777" w:rsidR="0005133C" w:rsidRPr="00C20555" w:rsidRDefault="0005133C" w:rsidP="0005133C">
      <w:pPr>
        <w:spacing w:after="120"/>
      </w:pPr>
      <w:r w:rsidRPr="00C20555">
        <w:t>Keep dimensions of jacking pits to the minimum necessary.</w:t>
      </w:r>
    </w:p>
    <w:p w14:paraId="2EF7A0E4" w14:textId="77777777" w:rsidR="0005133C" w:rsidRPr="006476B1" w:rsidRDefault="0005133C" w:rsidP="0005133C">
      <w:pPr>
        <w:spacing w:after="120"/>
      </w:pPr>
      <w:r w:rsidRPr="00C20555">
        <w:t>Use pipe jacking equipment inspected and approv</w:t>
      </w:r>
      <w:r>
        <w:t>ed and</w:t>
      </w:r>
      <w:r w:rsidRPr="006476B1">
        <w:t xml:space="preserv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14:paraId="6CE40605" w14:textId="77777777" w:rsidR="0005133C" w:rsidRPr="006476B1" w:rsidRDefault="0005133C" w:rsidP="0005133C">
      <w:pPr>
        <w:spacing w:after="120"/>
      </w:pPr>
      <w:r w:rsidRPr="006476B1">
        <w:t>Comply with the guidance provided in the Safe Work Australia Code of Practice Managing Risks of Plant in the Workplace.</w:t>
      </w:r>
    </w:p>
    <w:p w14:paraId="02C7DAB1" w14:textId="77777777" w:rsidR="0005133C" w:rsidRPr="006476B1" w:rsidRDefault="0005133C" w:rsidP="0005133C">
      <w:pPr>
        <w:spacing w:after="120"/>
      </w:pPr>
      <w:r w:rsidRPr="006476B1">
        <w:rPr>
          <w:b/>
        </w:rPr>
        <w:t>Witness Point</w:t>
      </w:r>
      <w:r w:rsidRPr="006476B1">
        <w:t xml:space="preserve"> – Provide documentary evidence of the certification that the </w:t>
      </w:r>
      <w:r>
        <w:t>pipe jacking equipment</w:t>
      </w:r>
      <w:r w:rsidRPr="006476B1">
        <w:t xml:space="preserve">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14:paraId="481D68EE" w14:textId="77777777" w:rsidR="0005133C" w:rsidRPr="00C20555" w:rsidRDefault="0005133C" w:rsidP="0005133C">
      <w:pPr>
        <w:spacing w:after="120"/>
      </w:pPr>
      <w:r w:rsidRPr="00C20555">
        <w:t>Use a welded mild steel pipe casing manufactured in accordance with AS 1579 and of sufficient strength to withstand the forces generated irrespective of the nature of sub-surface material encountered.</w:t>
      </w:r>
    </w:p>
    <w:p w14:paraId="2B4F47E2" w14:textId="77777777" w:rsidR="0005133C" w:rsidRPr="00C20555" w:rsidRDefault="0005133C" w:rsidP="0005133C">
      <w:pPr>
        <w:spacing w:after="120"/>
      </w:pPr>
      <w:r w:rsidRPr="00C20555">
        <w:t>Ensure the inside diameter of the casing is 50 mm greater than the maximum outside diameter of the pipe joints, skids, cradle runners or other protrusions related to pipe insertion.</w:t>
      </w:r>
    </w:p>
    <w:p w14:paraId="1B857648" w14:textId="77777777" w:rsidR="0005133C" w:rsidRPr="00C20555" w:rsidRDefault="0005133C" w:rsidP="0005133C">
      <w:pPr>
        <w:pStyle w:val="Heading3"/>
        <w:keepNext/>
        <w:numPr>
          <w:ilvl w:val="2"/>
          <w:numId w:val="10"/>
        </w:numPr>
        <w:rPr>
          <w:lang w:val="en-AU"/>
        </w:rPr>
      </w:pPr>
      <w:r>
        <w:t>Directional</w:t>
      </w:r>
      <w:r w:rsidRPr="00C20555">
        <w:rPr>
          <w:lang w:val="en-AU"/>
        </w:rPr>
        <w:t xml:space="preserve"> Boring Without Pipe Casing</w:t>
      </w:r>
      <w:r>
        <w:rPr>
          <w:lang w:val="en-AU"/>
        </w:rPr>
        <w:t xml:space="preserve"> – Hold Point</w:t>
      </w:r>
    </w:p>
    <w:p w14:paraId="6A175F14" w14:textId="77777777" w:rsidR="0005133C" w:rsidRDefault="0005133C" w:rsidP="0005133C">
      <w:pPr>
        <w:spacing w:after="120"/>
      </w:pPr>
      <w:r>
        <w:rPr>
          <w:b/>
        </w:rPr>
        <w:t>Hold Point</w:t>
      </w:r>
      <w:r>
        <w:t xml:space="preserve"> – Obtain written permission from the Superintendent to use directional boring without pipe casing.</w:t>
      </w:r>
    </w:p>
    <w:p w14:paraId="1DA76194" w14:textId="77777777" w:rsidR="0005133C" w:rsidRPr="00C20555" w:rsidRDefault="0005133C" w:rsidP="0005133C">
      <w:pPr>
        <w:spacing w:after="120"/>
      </w:pPr>
      <w:r>
        <w:t>B</w:t>
      </w:r>
      <w:r w:rsidRPr="00C20555">
        <w:t>ore the hole cleanly without projections to a diameter at least 50 mm greater than the maximum outside diameter of the pipe joints, skids or other protrusions related to pipe insertion.</w:t>
      </w:r>
    </w:p>
    <w:p w14:paraId="3957200A" w14:textId="77777777" w:rsidR="0005133C" w:rsidRPr="00C20555" w:rsidRDefault="0005133C" w:rsidP="0005133C">
      <w:pPr>
        <w:spacing w:after="120"/>
      </w:pPr>
      <w:r w:rsidRPr="00C20555">
        <w:t xml:space="preserve">Use plastic skids extending the whole length of the pipe apart from joints to ensure the pipe is at least 10 mm clear of the </w:t>
      </w:r>
      <w:proofErr w:type="gramStart"/>
      <w:r w:rsidRPr="00C20555">
        <w:t>hole</w:t>
      </w:r>
      <w:proofErr w:type="gramEnd"/>
      <w:r w:rsidRPr="00C20555">
        <w:t xml:space="preserve"> perimeter</w:t>
      </w:r>
      <w:r>
        <w:t xml:space="preserve">. </w:t>
      </w:r>
      <w:r w:rsidRPr="00C20555">
        <w:t>Insert the pipe so that the joints are neither stressed nor pulled apart.</w:t>
      </w:r>
    </w:p>
    <w:p w14:paraId="5E74FF17" w14:textId="77777777" w:rsidR="0005133C" w:rsidRPr="00C20555" w:rsidRDefault="0005133C" w:rsidP="0005133C">
      <w:pPr>
        <w:pStyle w:val="Heading2"/>
        <w:numPr>
          <w:ilvl w:val="1"/>
          <w:numId w:val="10"/>
        </w:numPr>
        <w:ind w:left="612" w:hanging="612"/>
      </w:pPr>
      <w:r w:rsidRPr="00C20555">
        <w:t>Testing</w:t>
      </w:r>
      <w:r>
        <w:t xml:space="preserve"> of Services</w:t>
      </w:r>
    </w:p>
    <w:p w14:paraId="496AFEEE" w14:textId="77777777" w:rsidR="0005133C" w:rsidRDefault="0005133C" w:rsidP="0005133C">
      <w:pPr>
        <w:spacing w:after="120"/>
      </w:pPr>
      <w:r>
        <w:t>Co-ordinate testing of services with the authority with jurisdiction over the installed service to be tested.</w:t>
      </w:r>
    </w:p>
    <w:p w14:paraId="28C2C7AE" w14:textId="77777777" w:rsidR="0005133C" w:rsidRDefault="0005133C" w:rsidP="0005133C">
      <w:pPr>
        <w:spacing w:after="120"/>
      </w:pPr>
      <w:r>
        <w:t xml:space="preserve">For plumbing installations testing is to be to the </w:t>
      </w:r>
      <w:r w:rsidRPr="000A286E">
        <w:rPr>
          <w:b/>
        </w:rPr>
        <w:t>Testing and commissioning</w:t>
      </w:r>
      <w:r>
        <w:t xml:space="preserve"> section of the applicable Part of AS 3500.</w:t>
      </w:r>
    </w:p>
    <w:p w14:paraId="5373222C" w14:textId="77777777" w:rsidR="0005133C" w:rsidRDefault="0005133C" w:rsidP="0005133C">
      <w:pPr>
        <w:spacing w:after="120"/>
      </w:pPr>
      <w:r>
        <w:t>For electrical installations testing is to be to the requirements of PowerWater and/or to the requirements of AS 3000.</w:t>
      </w:r>
    </w:p>
    <w:p w14:paraId="02F2C229" w14:textId="77777777" w:rsidR="0005133C" w:rsidRDefault="0005133C" w:rsidP="0005133C">
      <w:pPr>
        <w:spacing w:after="120"/>
      </w:pPr>
      <w:r>
        <w:t xml:space="preserve">For telephone and data, including NBN, installations, testing is to be to the requirements of </w:t>
      </w:r>
      <w:r>
        <w:lastRenderedPageBreak/>
        <w:t>Telstra, NBN Corporation, or other authority with jurisdiction regarding the installation.</w:t>
      </w:r>
    </w:p>
    <w:p w14:paraId="360F6002" w14:textId="77777777" w:rsidR="0005133C" w:rsidRDefault="0005133C" w:rsidP="0005133C">
      <w:pPr>
        <w:spacing w:after="120"/>
      </w:pPr>
      <w:r>
        <w:t>For installations related to Traffic Control, Traffic Count, and Street Lighting, refer to the applicable worksection for tests required.</w:t>
      </w:r>
    </w:p>
    <w:p w14:paraId="06E300A7" w14:textId="77777777" w:rsidR="0005133C" w:rsidRDefault="0005133C" w:rsidP="0005133C">
      <w:pPr>
        <w:spacing w:after="120"/>
      </w:pPr>
      <w:r>
        <w:t>For installations related to gas supply, refer to AS/NZS 4645, and to the applicable authority, for tests required.</w:t>
      </w:r>
    </w:p>
    <w:p w14:paraId="4D9CBB91" w14:textId="77777777" w:rsidR="0005133C" w:rsidRDefault="0005133C" w:rsidP="0005133C">
      <w:pPr>
        <w:spacing w:after="120"/>
      </w:pPr>
      <w:r>
        <w:t>Other tests may be specified in other work sections.</w:t>
      </w:r>
    </w:p>
    <w:p w14:paraId="10D48CA9" w14:textId="77777777" w:rsidR="0005133C" w:rsidRDefault="0005133C" w:rsidP="0005133C">
      <w:pPr>
        <w:pStyle w:val="guidenotes"/>
      </w:pPr>
      <w:r>
        <w:t>[Delete this sentence if no other tests are specified.]</w:t>
      </w:r>
    </w:p>
    <w:p w14:paraId="4524E0D9" w14:textId="77777777" w:rsidR="0005133C" w:rsidRDefault="0005133C" w:rsidP="0005133C">
      <w:r>
        <w:t>The Superintendent may specify other tests.</w:t>
      </w:r>
    </w:p>
    <w:p w14:paraId="32D2BA2D" w14:textId="77777777" w:rsidR="0005133C" w:rsidRDefault="0005133C" w:rsidP="0005133C">
      <w:pPr>
        <w:pStyle w:val="guidenotes"/>
      </w:pPr>
      <w:r>
        <w:t>[Delete this sentence if no other tests are specified.]</w:t>
      </w:r>
    </w:p>
    <w:p w14:paraId="593D25EA" w14:textId="77777777" w:rsidR="0005133C" w:rsidRPr="00C20555" w:rsidRDefault="0005133C" w:rsidP="0005133C">
      <w:r>
        <w:t>If any installation is tested, and fails that test, the Contractor is to rectify the installation and test the installation again, at no cost to the Principal.</w:t>
      </w:r>
    </w:p>
    <w:p w14:paraId="19E46C7C" w14:textId="77777777" w:rsidR="0005133C" w:rsidRPr="00C20555" w:rsidRDefault="0005133C" w:rsidP="0005133C">
      <w:pPr>
        <w:pStyle w:val="Heading2"/>
        <w:numPr>
          <w:ilvl w:val="1"/>
          <w:numId w:val="10"/>
        </w:numPr>
        <w:ind w:left="612" w:hanging="612"/>
      </w:pPr>
      <w:r w:rsidRPr="00C20555">
        <w:t>Filling of Cavities</w:t>
      </w:r>
    </w:p>
    <w:p w14:paraId="6B2288CB" w14:textId="77777777" w:rsidR="0005133C" w:rsidRPr="000E530E" w:rsidRDefault="0005133C" w:rsidP="0005133C">
      <w:pPr>
        <w:keepNext/>
        <w:spacing w:after="120"/>
      </w:pPr>
      <w:r w:rsidRPr="000E530E">
        <w:t>This sub-clause is in respect to piping installed in passages bored without pipe casings.</w:t>
      </w:r>
    </w:p>
    <w:p w14:paraId="26E6B2FB" w14:textId="77777777" w:rsidR="0005133C" w:rsidRPr="00D47C32" w:rsidRDefault="0005133C" w:rsidP="0005133C">
      <w:pPr>
        <w:keepNext/>
        <w:spacing w:after="120"/>
        <w:rPr>
          <w:b/>
        </w:rPr>
      </w:pPr>
      <w:r w:rsidRPr="00D47C32">
        <w:rPr>
          <w:b/>
        </w:rPr>
        <w:t>Pressure</w:t>
      </w:r>
      <w:r>
        <w:rPr>
          <w:b/>
        </w:rPr>
        <w:t xml:space="preserve"> Service</w:t>
      </w:r>
      <w:r w:rsidRPr="00D47C32">
        <w:rPr>
          <w:b/>
        </w:rPr>
        <w:t xml:space="preserve"> Pipes</w:t>
      </w:r>
    </w:p>
    <w:p w14:paraId="7B6D1BED" w14:textId="77777777" w:rsidR="0005133C" w:rsidRPr="00C20555" w:rsidRDefault="0005133C" w:rsidP="0005133C">
      <w:pPr>
        <w:spacing w:after="120"/>
      </w:pPr>
      <w:r w:rsidRPr="00C20555">
        <w:t xml:space="preserve">Carry out grouting </w:t>
      </w:r>
      <w:r>
        <w:t>around</w:t>
      </w:r>
      <w:r w:rsidRPr="00C20555">
        <w:t xml:space="preserve"> the </w:t>
      </w:r>
      <w:r>
        <w:t xml:space="preserve">service </w:t>
      </w:r>
      <w:r w:rsidRPr="00C20555">
        <w:t>pipe</w:t>
      </w:r>
      <w:r>
        <w:t xml:space="preserve"> in the</w:t>
      </w:r>
      <w:r w:rsidRPr="00C20555">
        <w:t xml:space="preserve"> cavity with pumped cementitious grout (Class 10 MPa) containing an appropriate plasticising agent</w:t>
      </w:r>
      <w:r>
        <w:t>. Any water service p</w:t>
      </w:r>
      <w:r w:rsidRPr="00C20555">
        <w:t xml:space="preserve">ipe </w:t>
      </w:r>
      <w:r>
        <w:t xml:space="preserve">is </w:t>
      </w:r>
      <w:r w:rsidRPr="00C20555">
        <w:t>to be full of water under a pressure equal to normal expected operating pressure.</w:t>
      </w:r>
    </w:p>
    <w:p w14:paraId="23D53DA6" w14:textId="77777777" w:rsidR="0005133C" w:rsidRPr="00D47C32" w:rsidRDefault="0005133C" w:rsidP="0005133C">
      <w:pPr>
        <w:spacing w:after="120"/>
        <w:rPr>
          <w:b/>
        </w:rPr>
      </w:pPr>
      <w:r w:rsidRPr="00D47C32">
        <w:rPr>
          <w:b/>
        </w:rPr>
        <w:t>Non</w:t>
      </w:r>
      <w:r w:rsidRPr="00D47C32">
        <w:rPr>
          <w:b/>
        </w:rPr>
        <w:noBreakHyphen/>
        <w:t xml:space="preserve">pressure </w:t>
      </w:r>
      <w:r>
        <w:rPr>
          <w:b/>
        </w:rPr>
        <w:t xml:space="preserve">Service </w:t>
      </w:r>
      <w:r w:rsidRPr="00D47C32">
        <w:rPr>
          <w:b/>
        </w:rPr>
        <w:t>Pipes</w:t>
      </w:r>
    </w:p>
    <w:p w14:paraId="46AAC82B" w14:textId="77777777" w:rsidR="0005133C" w:rsidRPr="00C20555" w:rsidRDefault="0005133C" w:rsidP="0005133C">
      <w:pPr>
        <w:spacing w:after="120"/>
      </w:pPr>
      <w:r w:rsidRPr="00C20555">
        <w:t xml:space="preserve">Fill cavities </w:t>
      </w:r>
      <w:r>
        <w:t xml:space="preserve">around the service pipes </w:t>
      </w:r>
      <w:r w:rsidRPr="00C20555">
        <w:t>with Type 1 bedding material thoroughly watered in.</w:t>
      </w:r>
    </w:p>
    <w:p w14:paraId="20CE02AC" w14:textId="77777777" w:rsidR="0005133C" w:rsidRDefault="0005133C" w:rsidP="0005133C">
      <w:pPr>
        <w:spacing w:after="120"/>
      </w:pPr>
      <w:r w:rsidRPr="00C20555">
        <w:t>Type 1 bedding: Granular material free of clay, dust, fines, salt or organic matter complying with either of the following gradings:</w:t>
      </w:r>
    </w:p>
    <w:tbl>
      <w:tblPr>
        <w:tblW w:w="5000" w:type="pct"/>
        <w:tblLook w:val="0000" w:firstRow="0" w:lastRow="0" w:firstColumn="0" w:lastColumn="0" w:noHBand="0" w:noVBand="0"/>
      </w:tblPr>
      <w:tblGrid>
        <w:gridCol w:w="3100"/>
        <w:gridCol w:w="3100"/>
        <w:gridCol w:w="3098"/>
      </w:tblGrid>
      <w:tr w:rsidR="0005133C" w:rsidRPr="00C20555" w14:paraId="0926CA55" w14:textId="77777777" w:rsidTr="004D0FDF">
        <w:trPr>
          <w:cantSplit/>
        </w:trPr>
        <w:tc>
          <w:tcPr>
            <w:tcW w:w="5000" w:type="pct"/>
            <w:gridSpan w:val="3"/>
            <w:tcBorders>
              <w:top w:val="single" w:sz="4" w:space="0" w:color="auto"/>
              <w:left w:val="single" w:sz="2" w:space="0" w:color="auto"/>
              <w:bottom w:val="single" w:sz="4" w:space="0" w:color="auto"/>
              <w:right w:val="single" w:sz="2" w:space="0" w:color="auto"/>
            </w:tcBorders>
          </w:tcPr>
          <w:p w14:paraId="1A494D4A" w14:textId="77777777" w:rsidR="0005133C" w:rsidRPr="00D47C32" w:rsidRDefault="0005133C" w:rsidP="004D0FDF">
            <w:pPr>
              <w:keepNext/>
              <w:keepLines/>
              <w:spacing w:before="40" w:after="40"/>
              <w:rPr>
                <w:b/>
              </w:rPr>
            </w:pPr>
            <w:r w:rsidRPr="00D47C32">
              <w:rPr>
                <w:b/>
              </w:rPr>
              <w:t>Table – Granular Bedding Material Gradings</w:t>
            </w:r>
          </w:p>
        </w:tc>
      </w:tr>
      <w:tr w:rsidR="0005133C" w:rsidRPr="00C20555" w14:paraId="541C0F41" w14:textId="77777777" w:rsidTr="004D0FDF">
        <w:tc>
          <w:tcPr>
            <w:tcW w:w="1667" w:type="pct"/>
            <w:vMerge w:val="restart"/>
            <w:tcBorders>
              <w:top w:val="single" w:sz="4" w:space="0" w:color="auto"/>
              <w:left w:val="single" w:sz="2" w:space="0" w:color="auto"/>
              <w:bottom w:val="single" w:sz="2" w:space="0" w:color="auto"/>
              <w:right w:val="single" w:sz="4" w:space="0" w:color="auto"/>
            </w:tcBorders>
            <w:vAlign w:val="center"/>
          </w:tcPr>
          <w:p w14:paraId="302CC611" w14:textId="77777777" w:rsidR="0005133C" w:rsidRPr="00D47C32" w:rsidRDefault="0005133C" w:rsidP="004D0FDF">
            <w:pPr>
              <w:keepNext/>
              <w:keepLines/>
              <w:spacing w:before="40" w:after="40"/>
              <w:rPr>
                <w:b/>
              </w:rPr>
            </w:pPr>
            <w:r w:rsidRPr="00D47C32">
              <w:rPr>
                <w:b/>
              </w:rPr>
              <w:t>Sieve Size</w:t>
            </w:r>
          </w:p>
        </w:tc>
        <w:tc>
          <w:tcPr>
            <w:tcW w:w="3333" w:type="pct"/>
            <w:gridSpan w:val="2"/>
            <w:tcBorders>
              <w:top w:val="single" w:sz="4" w:space="0" w:color="auto"/>
              <w:left w:val="nil"/>
              <w:bottom w:val="single" w:sz="2" w:space="0" w:color="auto"/>
              <w:right w:val="single" w:sz="2" w:space="0" w:color="auto"/>
            </w:tcBorders>
            <w:vAlign w:val="center"/>
          </w:tcPr>
          <w:p w14:paraId="40B753F1" w14:textId="77777777" w:rsidR="0005133C" w:rsidRPr="00D47C32" w:rsidRDefault="0005133C" w:rsidP="004D0FDF">
            <w:pPr>
              <w:keepNext/>
              <w:keepLines/>
              <w:spacing w:before="40" w:after="40"/>
              <w:jc w:val="center"/>
              <w:rPr>
                <w:b/>
              </w:rPr>
            </w:pPr>
            <w:r w:rsidRPr="00D47C32">
              <w:rPr>
                <w:b/>
              </w:rPr>
              <w:t>Percentage Passing By Weight</w:t>
            </w:r>
          </w:p>
        </w:tc>
      </w:tr>
      <w:tr w:rsidR="0005133C" w:rsidRPr="00C20555" w14:paraId="3F1969CD" w14:textId="77777777" w:rsidTr="004D0FDF">
        <w:tc>
          <w:tcPr>
            <w:tcW w:w="1667" w:type="pct"/>
            <w:vMerge/>
            <w:tcBorders>
              <w:top w:val="single" w:sz="2" w:space="0" w:color="auto"/>
              <w:left w:val="single" w:sz="2" w:space="0" w:color="auto"/>
              <w:bottom w:val="single" w:sz="2" w:space="0" w:color="auto"/>
              <w:right w:val="single" w:sz="4" w:space="0" w:color="auto"/>
            </w:tcBorders>
            <w:vAlign w:val="center"/>
          </w:tcPr>
          <w:p w14:paraId="53820E1F" w14:textId="77777777" w:rsidR="0005133C" w:rsidRPr="00D47C32" w:rsidRDefault="0005133C" w:rsidP="004D0FDF">
            <w:pPr>
              <w:keepNext/>
              <w:keepLines/>
              <w:spacing w:before="40" w:after="40"/>
              <w:rPr>
                <w:b/>
              </w:rPr>
            </w:pPr>
          </w:p>
        </w:tc>
        <w:tc>
          <w:tcPr>
            <w:tcW w:w="1667" w:type="pct"/>
            <w:tcBorders>
              <w:top w:val="single" w:sz="2" w:space="0" w:color="auto"/>
              <w:left w:val="nil"/>
              <w:bottom w:val="single" w:sz="2" w:space="0" w:color="auto"/>
              <w:right w:val="single" w:sz="4" w:space="0" w:color="auto"/>
            </w:tcBorders>
            <w:vAlign w:val="center"/>
          </w:tcPr>
          <w:p w14:paraId="3F64AF7A" w14:textId="77777777" w:rsidR="0005133C" w:rsidRPr="00D47C32" w:rsidRDefault="0005133C" w:rsidP="004D0FDF">
            <w:pPr>
              <w:keepNext/>
              <w:keepLines/>
              <w:spacing w:before="40" w:after="40"/>
              <w:jc w:val="center"/>
              <w:rPr>
                <w:b/>
              </w:rPr>
            </w:pPr>
            <w:r w:rsidRPr="00D47C32">
              <w:rPr>
                <w:b/>
              </w:rPr>
              <w:t>Type 1A</w:t>
            </w:r>
          </w:p>
        </w:tc>
        <w:tc>
          <w:tcPr>
            <w:tcW w:w="1667" w:type="pct"/>
            <w:tcBorders>
              <w:top w:val="single" w:sz="2" w:space="0" w:color="auto"/>
              <w:left w:val="nil"/>
              <w:bottom w:val="single" w:sz="2" w:space="0" w:color="auto"/>
              <w:right w:val="single" w:sz="2" w:space="0" w:color="auto"/>
            </w:tcBorders>
            <w:vAlign w:val="center"/>
          </w:tcPr>
          <w:p w14:paraId="14ACAA99" w14:textId="77777777" w:rsidR="0005133C" w:rsidRPr="00D47C32" w:rsidRDefault="0005133C" w:rsidP="004D0FDF">
            <w:pPr>
              <w:keepNext/>
              <w:keepLines/>
              <w:spacing w:before="40" w:after="40"/>
              <w:jc w:val="center"/>
              <w:rPr>
                <w:b/>
              </w:rPr>
            </w:pPr>
            <w:r w:rsidRPr="00D47C32">
              <w:rPr>
                <w:b/>
              </w:rPr>
              <w:t>Type 1B</w:t>
            </w:r>
          </w:p>
        </w:tc>
      </w:tr>
      <w:tr w:rsidR="0005133C" w:rsidRPr="00C20555" w14:paraId="00D4EE28"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4CFCBC7B" w14:textId="77777777" w:rsidR="0005133C" w:rsidRPr="00C20555" w:rsidRDefault="0005133C" w:rsidP="004D0FDF">
            <w:pPr>
              <w:keepNext/>
              <w:keepLines/>
              <w:spacing w:before="40" w:after="40"/>
            </w:pPr>
            <w:r w:rsidRPr="00C20555">
              <w:t>9.5 mm</w:t>
            </w:r>
          </w:p>
        </w:tc>
        <w:tc>
          <w:tcPr>
            <w:tcW w:w="1667" w:type="pct"/>
            <w:tcBorders>
              <w:top w:val="single" w:sz="2" w:space="0" w:color="auto"/>
              <w:left w:val="nil"/>
              <w:bottom w:val="single" w:sz="2" w:space="0" w:color="auto"/>
              <w:right w:val="single" w:sz="4" w:space="0" w:color="auto"/>
            </w:tcBorders>
            <w:vAlign w:val="center"/>
          </w:tcPr>
          <w:p w14:paraId="16D7A0D0" w14:textId="77777777" w:rsidR="0005133C" w:rsidRPr="00C20555" w:rsidRDefault="0005133C" w:rsidP="004D0FDF">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14:paraId="69411524" w14:textId="77777777" w:rsidR="0005133C" w:rsidRPr="00C20555" w:rsidRDefault="0005133C" w:rsidP="004D0FDF">
            <w:pPr>
              <w:keepNext/>
              <w:keepLines/>
              <w:spacing w:before="40" w:after="40"/>
              <w:jc w:val="center"/>
            </w:pPr>
            <w:r>
              <w:t>-</w:t>
            </w:r>
          </w:p>
        </w:tc>
      </w:tr>
      <w:tr w:rsidR="0005133C" w:rsidRPr="00C20555" w14:paraId="5C2F90CE"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03C1337A" w14:textId="77777777" w:rsidR="0005133C" w:rsidRPr="00C20555" w:rsidRDefault="0005133C" w:rsidP="004D0FDF">
            <w:pPr>
              <w:keepNext/>
              <w:keepLines/>
              <w:spacing w:before="40" w:after="40"/>
            </w:pPr>
            <w:r w:rsidRPr="00C20555">
              <w:t>6.75 mm</w:t>
            </w:r>
          </w:p>
        </w:tc>
        <w:tc>
          <w:tcPr>
            <w:tcW w:w="1667" w:type="pct"/>
            <w:tcBorders>
              <w:top w:val="single" w:sz="2" w:space="0" w:color="auto"/>
              <w:left w:val="nil"/>
              <w:bottom w:val="single" w:sz="2" w:space="0" w:color="auto"/>
              <w:right w:val="single" w:sz="4" w:space="0" w:color="auto"/>
            </w:tcBorders>
            <w:vAlign w:val="center"/>
          </w:tcPr>
          <w:p w14:paraId="25E0729D" w14:textId="77777777" w:rsidR="0005133C" w:rsidRPr="00C20555" w:rsidRDefault="0005133C" w:rsidP="004D0FDF">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14:paraId="2E99C537" w14:textId="77777777" w:rsidR="0005133C" w:rsidRPr="00C20555" w:rsidRDefault="0005133C" w:rsidP="004D0FDF">
            <w:pPr>
              <w:keepNext/>
              <w:keepLines/>
              <w:spacing w:before="40" w:after="40"/>
              <w:jc w:val="center"/>
            </w:pPr>
            <w:r w:rsidRPr="00C20555">
              <w:t>90 – 100</w:t>
            </w:r>
          </w:p>
        </w:tc>
      </w:tr>
      <w:tr w:rsidR="0005133C" w:rsidRPr="00C20555" w14:paraId="3FE8C96F"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27D30B69" w14:textId="77777777" w:rsidR="0005133C" w:rsidRPr="00C20555" w:rsidRDefault="0005133C" w:rsidP="004D0FDF">
            <w:pPr>
              <w:keepNext/>
              <w:keepLines/>
              <w:spacing w:before="40" w:after="40"/>
            </w:pPr>
            <w:r w:rsidRPr="00C20555">
              <w:t>2.36 mm</w:t>
            </w:r>
          </w:p>
        </w:tc>
        <w:tc>
          <w:tcPr>
            <w:tcW w:w="1667" w:type="pct"/>
            <w:tcBorders>
              <w:top w:val="single" w:sz="2" w:space="0" w:color="auto"/>
              <w:left w:val="nil"/>
              <w:bottom w:val="single" w:sz="2" w:space="0" w:color="auto"/>
              <w:right w:val="single" w:sz="4" w:space="0" w:color="auto"/>
            </w:tcBorders>
            <w:vAlign w:val="center"/>
          </w:tcPr>
          <w:p w14:paraId="666991C2" w14:textId="77777777" w:rsidR="0005133C" w:rsidRPr="00C20555" w:rsidRDefault="0005133C" w:rsidP="004D0FDF">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14:paraId="7B09BEC7" w14:textId="77777777" w:rsidR="0005133C" w:rsidRPr="00C20555" w:rsidRDefault="0005133C" w:rsidP="004D0FDF">
            <w:pPr>
              <w:keepNext/>
              <w:keepLines/>
              <w:spacing w:before="40" w:after="40"/>
              <w:jc w:val="center"/>
            </w:pPr>
            <w:r w:rsidRPr="00C20555">
              <w:t>75 – 100</w:t>
            </w:r>
          </w:p>
        </w:tc>
      </w:tr>
      <w:tr w:rsidR="0005133C" w:rsidRPr="00C20555" w14:paraId="0637AE9F"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60848BF4" w14:textId="77777777" w:rsidR="0005133C" w:rsidRPr="00C20555" w:rsidRDefault="0005133C" w:rsidP="004D0FDF">
            <w:pPr>
              <w:keepNext/>
              <w:keepLines/>
              <w:spacing w:before="40" w:after="40"/>
            </w:pPr>
            <w:r w:rsidRPr="00C20555">
              <w:t>1.18 mm</w:t>
            </w:r>
          </w:p>
        </w:tc>
        <w:tc>
          <w:tcPr>
            <w:tcW w:w="1667" w:type="pct"/>
            <w:tcBorders>
              <w:top w:val="single" w:sz="2" w:space="0" w:color="auto"/>
              <w:left w:val="nil"/>
              <w:bottom w:val="single" w:sz="2" w:space="0" w:color="auto"/>
              <w:right w:val="single" w:sz="4" w:space="0" w:color="auto"/>
            </w:tcBorders>
            <w:vAlign w:val="center"/>
          </w:tcPr>
          <w:p w14:paraId="57F9E74E" w14:textId="77777777" w:rsidR="0005133C" w:rsidRPr="00C20555" w:rsidRDefault="0005133C" w:rsidP="004D0FDF">
            <w:pPr>
              <w:keepNext/>
              <w:keepLines/>
              <w:spacing w:before="40" w:after="40"/>
              <w:jc w:val="center"/>
            </w:pPr>
            <w:r w:rsidRPr="00C20555">
              <w:t>95 – 100</w:t>
            </w:r>
          </w:p>
        </w:tc>
        <w:tc>
          <w:tcPr>
            <w:tcW w:w="1667" w:type="pct"/>
            <w:tcBorders>
              <w:top w:val="single" w:sz="2" w:space="0" w:color="auto"/>
              <w:left w:val="nil"/>
              <w:bottom w:val="single" w:sz="2" w:space="0" w:color="auto"/>
              <w:right w:val="single" w:sz="2" w:space="0" w:color="auto"/>
            </w:tcBorders>
            <w:vAlign w:val="center"/>
          </w:tcPr>
          <w:p w14:paraId="292B891C" w14:textId="77777777" w:rsidR="0005133C" w:rsidRPr="00C20555" w:rsidRDefault="0005133C" w:rsidP="004D0FDF">
            <w:pPr>
              <w:keepNext/>
              <w:keepLines/>
              <w:spacing w:before="40" w:after="40"/>
              <w:jc w:val="center"/>
            </w:pPr>
            <w:r w:rsidRPr="00C20555">
              <w:t>45 – 95</w:t>
            </w:r>
          </w:p>
        </w:tc>
      </w:tr>
      <w:tr w:rsidR="0005133C" w:rsidRPr="00C20555" w14:paraId="307C00C8"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2132CD20" w14:textId="77777777" w:rsidR="0005133C" w:rsidRPr="00C20555" w:rsidRDefault="0005133C" w:rsidP="004D0FDF">
            <w:pPr>
              <w:keepNext/>
              <w:keepLines/>
              <w:spacing w:before="40" w:after="40"/>
            </w:pPr>
            <w:r w:rsidRPr="00C20555">
              <w:t>600 um</w:t>
            </w:r>
          </w:p>
        </w:tc>
        <w:tc>
          <w:tcPr>
            <w:tcW w:w="1667" w:type="pct"/>
            <w:tcBorders>
              <w:top w:val="single" w:sz="2" w:space="0" w:color="auto"/>
              <w:left w:val="nil"/>
              <w:bottom w:val="single" w:sz="2" w:space="0" w:color="auto"/>
              <w:right w:val="single" w:sz="4" w:space="0" w:color="auto"/>
            </w:tcBorders>
            <w:vAlign w:val="center"/>
          </w:tcPr>
          <w:p w14:paraId="34F4036A" w14:textId="77777777" w:rsidR="0005133C" w:rsidRPr="00C20555" w:rsidRDefault="0005133C" w:rsidP="004D0FDF">
            <w:pPr>
              <w:keepNext/>
              <w:keepLines/>
              <w:spacing w:before="40" w:after="40"/>
              <w:jc w:val="center"/>
            </w:pPr>
            <w:r w:rsidRPr="00C20555">
              <w:t>80 – 100</w:t>
            </w:r>
          </w:p>
        </w:tc>
        <w:tc>
          <w:tcPr>
            <w:tcW w:w="1667" w:type="pct"/>
            <w:tcBorders>
              <w:top w:val="single" w:sz="2" w:space="0" w:color="auto"/>
              <w:left w:val="nil"/>
              <w:bottom w:val="single" w:sz="2" w:space="0" w:color="auto"/>
              <w:right w:val="single" w:sz="2" w:space="0" w:color="auto"/>
            </w:tcBorders>
            <w:vAlign w:val="center"/>
          </w:tcPr>
          <w:p w14:paraId="1033DB98" w14:textId="77777777" w:rsidR="0005133C" w:rsidRPr="00C20555" w:rsidRDefault="0005133C" w:rsidP="004D0FDF">
            <w:pPr>
              <w:keepNext/>
              <w:keepLines/>
              <w:spacing w:before="40" w:after="40"/>
              <w:jc w:val="center"/>
            </w:pPr>
            <w:r w:rsidRPr="00C20555">
              <w:t>20 – 80</w:t>
            </w:r>
          </w:p>
        </w:tc>
      </w:tr>
      <w:tr w:rsidR="0005133C" w:rsidRPr="00C20555" w14:paraId="47FABA2F"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2036B2BA" w14:textId="77777777" w:rsidR="0005133C" w:rsidRPr="00C20555" w:rsidRDefault="0005133C" w:rsidP="004D0FDF">
            <w:pPr>
              <w:keepNext/>
              <w:keepLines/>
              <w:spacing w:before="40" w:after="40"/>
            </w:pPr>
            <w:r w:rsidRPr="00C20555">
              <w:t>300 um</w:t>
            </w:r>
          </w:p>
        </w:tc>
        <w:tc>
          <w:tcPr>
            <w:tcW w:w="1667" w:type="pct"/>
            <w:tcBorders>
              <w:top w:val="single" w:sz="2" w:space="0" w:color="auto"/>
              <w:left w:val="nil"/>
              <w:bottom w:val="single" w:sz="2" w:space="0" w:color="auto"/>
              <w:right w:val="single" w:sz="4" w:space="0" w:color="auto"/>
            </w:tcBorders>
            <w:vAlign w:val="center"/>
          </w:tcPr>
          <w:p w14:paraId="6D735AA4" w14:textId="77777777" w:rsidR="0005133C" w:rsidRPr="00C20555" w:rsidRDefault="0005133C" w:rsidP="004D0FDF">
            <w:pPr>
              <w:keepNext/>
              <w:keepLines/>
              <w:spacing w:before="40" w:after="40"/>
              <w:jc w:val="center"/>
            </w:pPr>
            <w:r w:rsidRPr="00C20555">
              <w:t>40 – 80</w:t>
            </w:r>
          </w:p>
        </w:tc>
        <w:tc>
          <w:tcPr>
            <w:tcW w:w="1667" w:type="pct"/>
            <w:tcBorders>
              <w:top w:val="single" w:sz="2" w:space="0" w:color="auto"/>
              <w:left w:val="nil"/>
              <w:bottom w:val="single" w:sz="2" w:space="0" w:color="auto"/>
              <w:right w:val="single" w:sz="2" w:space="0" w:color="auto"/>
            </w:tcBorders>
            <w:vAlign w:val="center"/>
          </w:tcPr>
          <w:p w14:paraId="7D6933F2" w14:textId="77777777" w:rsidR="0005133C" w:rsidRPr="00C20555" w:rsidRDefault="0005133C" w:rsidP="004D0FDF">
            <w:pPr>
              <w:keepNext/>
              <w:keepLines/>
              <w:spacing w:before="40" w:after="40"/>
              <w:jc w:val="center"/>
            </w:pPr>
            <w:r w:rsidRPr="00C20555">
              <w:t>5 – 40</w:t>
            </w:r>
          </w:p>
        </w:tc>
      </w:tr>
      <w:tr w:rsidR="0005133C" w:rsidRPr="00C20555" w14:paraId="37DB6300"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78C56CDF" w14:textId="77777777" w:rsidR="0005133C" w:rsidRPr="00C20555" w:rsidRDefault="0005133C" w:rsidP="004D0FDF">
            <w:pPr>
              <w:keepNext/>
              <w:keepLines/>
              <w:spacing w:before="40" w:after="40"/>
            </w:pPr>
            <w:r w:rsidRPr="00C20555">
              <w:t>150 um</w:t>
            </w:r>
          </w:p>
        </w:tc>
        <w:tc>
          <w:tcPr>
            <w:tcW w:w="1667" w:type="pct"/>
            <w:tcBorders>
              <w:top w:val="single" w:sz="2" w:space="0" w:color="auto"/>
              <w:left w:val="nil"/>
              <w:bottom w:val="single" w:sz="2" w:space="0" w:color="auto"/>
              <w:right w:val="single" w:sz="4" w:space="0" w:color="auto"/>
            </w:tcBorders>
            <w:vAlign w:val="center"/>
          </w:tcPr>
          <w:p w14:paraId="48EE9202" w14:textId="77777777" w:rsidR="0005133C" w:rsidRPr="00C20555" w:rsidRDefault="0005133C" w:rsidP="004D0FDF">
            <w:pPr>
              <w:keepNext/>
              <w:keepLines/>
              <w:spacing w:before="40" w:after="40"/>
              <w:jc w:val="center"/>
            </w:pPr>
            <w:r w:rsidRPr="00C20555">
              <w:t>0 – 6</w:t>
            </w:r>
          </w:p>
        </w:tc>
        <w:tc>
          <w:tcPr>
            <w:tcW w:w="1667" w:type="pct"/>
            <w:tcBorders>
              <w:top w:val="single" w:sz="2" w:space="0" w:color="auto"/>
              <w:left w:val="nil"/>
              <w:bottom w:val="single" w:sz="2" w:space="0" w:color="auto"/>
              <w:right w:val="single" w:sz="2" w:space="0" w:color="auto"/>
            </w:tcBorders>
            <w:vAlign w:val="center"/>
          </w:tcPr>
          <w:p w14:paraId="03643F41" w14:textId="77777777" w:rsidR="0005133C" w:rsidRPr="00C20555" w:rsidRDefault="0005133C" w:rsidP="004D0FDF">
            <w:pPr>
              <w:keepNext/>
              <w:keepLines/>
              <w:spacing w:before="40" w:after="40"/>
              <w:jc w:val="center"/>
            </w:pPr>
            <w:r w:rsidRPr="00C20555">
              <w:t>0 – 6</w:t>
            </w:r>
          </w:p>
        </w:tc>
      </w:tr>
      <w:tr w:rsidR="0005133C" w:rsidRPr="00C20555" w14:paraId="56A0A0E7" w14:textId="77777777" w:rsidTr="004D0FDF">
        <w:tc>
          <w:tcPr>
            <w:tcW w:w="1667" w:type="pct"/>
            <w:tcBorders>
              <w:top w:val="single" w:sz="2" w:space="0" w:color="auto"/>
              <w:left w:val="single" w:sz="2" w:space="0" w:color="auto"/>
              <w:bottom w:val="single" w:sz="4" w:space="0" w:color="auto"/>
              <w:right w:val="single" w:sz="4" w:space="0" w:color="auto"/>
            </w:tcBorders>
            <w:vAlign w:val="center"/>
          </w:tcPr>
          <w:p w14:paraId="7671CE4A" w14:textId="77777777" w:rsidR="0005133C" w:rsidRPr="00C20555" w:rsidRDefault="0005133C" w:rsidP="004D0FDF">
            <w:pPr>
              <w:spacing w:before="40" w:after="40"/>
            </w:pPr>
            <w:r w:rsidRPr="00C20555">
              <w:t>75 um</w:t>
            </w:r>
          </w:p>
        </w:tc>
        <w:tc>
          <w:tcPr>
            <w:tcW w:w="1667" w:type="pct"/>
            <w:tcBorders>
              <w:top w:val="single" w:sz="2" w:space="0" w:color="auto"/>
              <w:left w:val="nil"/>
              <w:bottom w:val="single" w:sz="4" w:space="0" w:color="auto"/>
              <w:right w:val="single" w:sz="4" w:space="0" w:color="auto"/>
            </w:tcBorders>
            <w:vAlign w:val="center"/>
          </w:tcPr>
          <w:p w14:paraId="0703DE2E" w14:textId="77777777" w:rsidR="0005133C" w:rsidRPr="00C20555" w:rsidRDefault="0005133C" w:rsidP="004D0FDF">
            <w:pPr>
              <w:spacing w:before="40" w:after="40"/>
              <w:jc w:val="center"/>
            </w:pPr>
            <w:r w:rsidRPr="00C20555">
              <w:t>0 – 6</w:t>
            </w:r>
          </w:p>
        </w:tc>
        <w:tc>
          <w:tcPr>
            <w:tcW w:w="1667" w:type="pct"/>
            <w:tcBorders>
              <w:top w:val="single" w:sz="2" w:space="0" w:color="auto"/>
              <w:left w:val="nil"/>
              <w:bottom w:val="single" w:sz="4" w:space="0" w:color="auto"/>
              <w:right w:val="single" w:sz="2" w:space="0" w:color="auto"/>
            </w:tcBorders>
            <w:vAlign w:val="center"/>
          </w:tcPr>
          <w:p w14:paraId="3A6F3067" w14:textId="77777777" w:rsidR="0005133C" w:rsidRPr="00C20555" w:rsidRDefault="0005133C" w:rsidP="004D0FDF">
            <w:pPr>
              <w:spacing w:before="40" w:after="40"/>
              <w:jc w:val="center"/>
            </w:pPr>
            <w:r w:rsidRPr="00C20555">
              <w:t>0 </w:t>
            </w:r>
            <w:r w:rsidRPr="00C20555">
              <w:noBreakHyphen/>
              <w:t> 6</w:t>
            </w:r>
          </w:p>
        </w:tc>
      </w:tr>
    </w:tbl>
    <w:p w14:paraId="6B49B4AD" w14:textId="77777777" w:rsidR="0005133C" w:rsidRDefault="0005133C" w:rsidP="0005133C">
      <w:pPr>
        <w:pStyle w:val="BodyText"/>
      </w:pPr>
    </w:p>
    <w:p w14:paraId="05A54D3C" w14:textId="77777777" w:rsidR="0005133C" w:rsidRDefault="0005133C" w:rsidP="0005133C">
      <w:r w:rsidRPr="00C20555">
        <w:t>Linear shrinkage of materials passing a 425 um sieve to be less than 2.5%.</w:t>
      </w:r>
    </w:p>
    <w:p w14:paraId="319097FE" w14:textId="77777777" w:rsidR="0005133C" w:rsidRDefault="0005133C" w:rsidP="0005133C">
      <w:pPr>
        <w:pStyle w:val="Heading2"/>
        <w:keepNext/>
        <w:keepLines/>
        <w:numPr>
          <w:ilvl w:val="1"/>
          <w:numId w:val="10"/>
        </w:numPr>
        <w:ind w:left="612" w:hanging="612"/>
      </w:pPr>
      <w:r>
        <w:lastRenderedPageBreak/>
        <w:t>End Caps</w:t>
      </w:r>
    </w:p>
    <w:p w14:paraId="1323B0A9" w14:textId="77777777" w:rsidR="0005133C" w:rsidRDefault="0005133C" w:rsidP="0005133C">
      <w:pPr>
        <w:keepNext/>
        <w:keepLines/>
      </w:pPr>
      <w:r>
        <w:t>Fit end caps to a bored passage if services will not be installed in the passage on the day it is bored.</w:t>
      </w:r>
    </w:p>
    <w:p w14:paraId="5B3CFE83" w14:textId="77777777" w:rsidR="0005133C" w:rsidRDefault="0005133C" w:rsidP="0005133C">
      <w:pPr>
        <w:keepNext/>
        <w:keepLines/>
      </w:pPr>
      <w:r>
        <w:t>Fit end caps to pipe casing if services will not be installed in the pipe casing on the day it is bored/installed.</w:t>
      </w:r>
    </w:p>
    <w:p w14:paraId="4DFCCD7E" w14:textId="77777777" w:rsidR="0005133C" w:rsidRDefault="0005133C" w:rsidP="0005133C">
      <w:r>
        <w:t>Plug ends of bored passages around the installed services after installation, testing, and commissioning of the services is complete. Use an appropriate plugging material which is compatible with the materials of the installed services with which the plugging material will come into contact.</w:t>
      </w:r>
    </w:p>
    <w:p w14:paraId="32DD4FA4" w14:textId="3F3074A7" w:rsidR="00DB3166" w:rsidRPr="00C20555" w:rsidRDefault="00DB3166" w:rsidP="00D47C32"/>
    <w:sectPr w:rsidR="00DB3166" w:rsidRPr="00C20555">
      <w:headerReference w:type="even" r:id="rId8"/>
      <w:headerReference w:type="default" r:id="rId9"/>
      <w:footerReference w:type="even" r:id="rId10"/>
      <w:footerReference w:type="default" r:id="rId11"/>
      <w:headerReference w:type="first" r:id="rId12"/>
      <w:footerReference w:type="first" r:id="rId13"/>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532F0" w14:textId="77777777" w:rsidR="00E016AD" w:rsidRDefault="00E016AD">
      <w:r>
        <w:separator/>
      </w:r>
    </w:p>
  </w:endnote>
  <w:endnote w:type="continuationSeparator" w:id="0">
    <w:p w14:paraId="6CC80701" w14:textId="77777777" w:rsidR="00E016AD" w:rsidRDefault="00E01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F40FB" w14:textId="77777777" w:rsidR="00D47C32" w:rsidRDefault="00D47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F4DA" w14:textId="77777777" w:rsidR="00D47C32" w:rsidRPr="00E606F6" w:rsidRDefault="00D47C32" w:rsidP="00E606F6">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F7E4" w14:textId="77777777" w:rsidR="00D47C32" w:rsidRDefault="00D47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C71AA" w14:textId="77777777" w:rsidR="00E016AD" w:rsidRDefault="00E016AD">
      <w:r>
        <w:separator/>
      </w:r>
    </w:p>
  </w:footnote>
  <w:footnote w:type="continuationSeparator" w:id="0">
    <w:p w14:paraId="2D166A52" w14:textId="77777777" w:rsidR="00E016AD" w:rsidRDefault="00E01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9F6BD" w14:textId="77777777" w:rsidR="00DB3166" w:rsidRDefault="00DB3166">
    <w:pPr>
      <w:pStyle w:val="Header"/>
      <w:pBdr>
        <w:bottom w:val="single" w:sz="4" w:space="1" w:color="auto"/>
      </w:pBdr>
      <w:spacing w:after="120"/>
    </w:pPr>
    <w:r>
      <w:t>THRUST BORING</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5E90B" w14:textId="77777777" w:rsidR="00DB3166" w:rsidRPr="00E606F6" w:rsidRDefault="00DB3166" w:rsidP="00E606F6">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849F0" w14:textId="77777777" w:rsidR="00D47C32" w:rsidRDefault="00D47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301C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172DE0E"/>
    <w:lvl w:ilvl="0">
      <w:start w:val="21"/>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FFFFFFFE"/>
    <w:multiLevelType w:val="singleLevel"/>
    <w:tmpl w:val="C766422A"/>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6"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0"/>
  </w:num>
  <w:num w:numId="4">
    <w:abstractNumId w:val="0"/>
  </w:num>
  <w:num w:numId="5">
    <w:abstractNumId w:val="1"/>
  </w:num>
  <w:num w:numId="6">
    <w:abstractNumId w:val="1"/>
  </w:num>
  <w:num w:numId="7">
    <w:abstractNumId w:val="1"/>
  </w:num>
  <w:num w:numId="8">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9">
    <w:abstractNumId w:val="0"/>
  </w:num>
  <w:num w:numId="10">
    <w:abstractNumId w:val="4"/>
  </w:num>
  <w:num w:numId="11">
    <w:abstractNumId w:val="4"/>
  </w:num>
  <w:num w:numId="12">
    <w:abstractNumId w:val="5"/>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7"/>
  </w:num>
  <w:num w:numId="21">
    <w:abstractNumId w:val="8"/>
  </w:num>
  <w:num w:numId="22">
    <w:abstractNumId w:val="3"/>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6721A6E032B4F89B802D3B3F6D666B2"/>
    <w:docVar w:name="adVersion" w:val="7.1"/>
  </w:docVars>
  <w:rsids>
    <w:rsidRoot w:val="00C20555"/>
    <w:rsid w:val="0005133C"/>
    <w:rsid w:val="000A29BF"/>
    <w:rsid w:val="001142D0"/>
    <w:rsid w:val="00133EF1"/>
    <w:rsid w:val="001371BE"/>
    <w:rsid w:val="001805C4"/>
    <w:rsid w:val="00187A7A"/>
    <w:rsid w:val="002250A6"/>
    <w:rsid w:val="002456BE"/>
    <w:rsid w:val="003030ED"/>
    <w:rsid w:val="003470D0"/>
    <w:rsid w:val="003623E0"/>
    <w:rsid w:val="00413D86"/>
    <w:rsid w:val="004333B5"/>
    <w:rsid w:val="004713E7"/>
    <w:rsid w:val="004F3F31"/>
    <w:rsid w:val="00542B40"/>
    <w:rsid w:val="0056389E"/>
    <w:rsid w:val="00563EEC"/>
    <w:rsid w:val="005701F6"/>
    <w:rsid w:val="0057235F"/>
    <w:rsid w:val="00624DC8"/>
    <w:rsid w:val="00643C25"/>
    <w:rsid w:val="006C166E"/>
    <w:rsid w:val="007233CD"/>
    <w:rsid w:val="00765F11"/>
    <w:rsid w:val="00782ED3"/>
    <w:rsid w:val="0082636B"/>
    <w:rsid w:val="00890C70"/>
    <w:rsid w:val="008A3BE5"/>
    <w:rsid w:val="00926FE5"/>
    <w:rsid w:val="00AD27FE"/>
    <w:rsid w:val="00B10048"/>
    <w:rsid w:val="00B10821"/>
    <w:rsid w:val="00B15072"/>
    <w:rsid w:val="00B20BE4"/>
    <w:rsid w:val="00B443D3"/>
    <w:rsid w:val="00B63E47"/>
    <w:rsid w:val="00C00004"/>
    <w:rsid w:val="00C20555"/>
    <w:rsid w:val="00CA4680"/>
    <w:rsid w:val="00D47C32"/>
    <w:rsid w:val="00DB3166"/>
    <w:rsid w:val="00DB69E9"/>
    <w:rsid w:val="00DE7FBC"/>
    <w:rsid w:val="00E016AD"/>
    <w:rsid w:val="00E32796"/>
    <w:rsid w:val="00E606F6"/>
    <w:rsid w:val="00E72EFB"/>
    <w:rsid w:val="00ED3DAF"/>
    <w:rsid w:val="00ED682F"/>
    <w:rsid w:val="00ED7CF1"/>
    <w:rsid w:val="00FB25A3"/>
    <w:rsid w:val="00FB4F5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A3CF82"/>
  <w15:docId w15:val="{8A9828B5-8D79-462D-AFD4-F7201DE0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C32"/>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E606F6"/>
    <w:pPr>
      <w:numPr>
        <w:numId w:val="23"/>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D47C32"/>
    <w:pPr>
      <w:numPr>
        <w:ilvl w:val="1"/>
        <w:numId w:val="23"/>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D47C32"/>
    <w:pPr>
      <w:numPr>
        <w:ilvl w:val="2"/>
        <w:numId w:val="23"/>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D47C32"/>
    <w:pPr>
      <w:numPr>
        <w:ilvl w:val="3"/>
        <w:numId w:val="23"/>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D47C32"/>
    <w:pPr>
      <w:keepNext/>
      <w:keepLines/>
      <w:numPr>
        <w:ilvl w:val="4"/>
        <w:numId w:val="2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D47C32"/>
    <w:pPr>
      <w:keepNext/>
      <w:keepLines/>
      <w:numPr>
        <w:ilvl w:val="5"/>
        <w:numId w:val="2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D47C32"/>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7C32"/>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D47C32"/>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unhideWhenUsed/>
    <w:rsid w:val="00D47C32"/>
    <w:pPr>
      <w:tabs>
        <w:tab w:val="center" w:pos="4513"/>
        <w:tab w:val="right" w:pos="9026"/>
      </w:tabs>
      <w:jc w:val="right"/>
    </w:pPr>
    <w:rPr>
      <w:b/>
    </w:rPr>
  </w:style>
  <w:style w:type="paragraph" w:customStyle="1" w:styleId="ASList">
    <w:name w:val="AS_List"/>
    <w:basedOn w:val="Normal"/>
    <w:pPr>
      <w:ind w:left="1440" w:hanging="1440"/>
    </w:pPr>
    <w:rPr>
      <w:lang w:val="en-US"/>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D47C32"/>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autoRedefine/>
    <w:pPr>
      <w:numPr>
        <w:numId w:val="8"/>
      </w:numPr>
      <w:spacing w:before="60" w:after="60"/>
      <w:ind w:left="720" w:hanging="720"/>
      <w:jc w:val="both"/>
    </w:pPr>
    <w:rPr>
      <w:lang w:val="en-US"/>
    </w:rPr>
  </w:style>
  <w:style w:type="paragraph" w:styleId="ListBullet">
    <w:name w:val="List Bullet"/>
    <w:basedOn w:val="Normal"/>
    <w:autoRedefine/>
    <w:pPr>
      <w:numPr>
        <w:numId w:val="9"/>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Indent2H">
    <w:name w:val="Indent2_H"/>
    <w:basedOn w:val="IndentBH"/>
    <w:pPr>
      <w:ind w:left="2880" w:hanging="2880"/>
    </w:pPr>
  </w:style>
  <w:style w:type="paragraph" w:styleId="DocumentMap">
    <w:name w:val="Document Map"/>
    <w:basedOn w:val="Normal"/>
    <w:semiHidden/>
    <w:pPr>
      <w:shd w:val="clear" w:color="auto" w:fill="000080"/>
    </w:pPr>
    <w:rPr>
      <w:rFonts w:ascii="Tahoma" w:hAnsi="Tahoma"/>
    </w:rPr>
  </w:style>
  <w:style w:type="paragraph" w:customStyle="1" w:styleId="AgencyName">
    <w:name w:val="AgencyName"/>
    <w:basedOn w:val="Normal"/>
    <w:link w:val="AgencyNameChar"/>
    <w:rsid w:val="00D47C32"/>
    <w:pPr>
      <w:spacing w:after="120"/>
      <w:jc w:val="both"/>
    </w:pPr>
    <w:rPr>
      <w:color w:val="FFFFFF"/>
      <w:sz w:val="26"/>
      <w:szCs w:val="22"/>
    </w:rPr>
  </w:style>
  <w:style w:type="character" w:customStyle="1" w:styleId="AgencyNameChar">
    <w:name w:val="AgencyName Char"/>
    <w:basedOn w:val="DefaultParagraphFont"/>
    <w:link w:val="AgencyName"/>
    <w:rsid w:val="00D47C32"/>
    <w:rPr>
      <w:rFonts w:ascii="Arial" w:hAnsi="Arial"/>
      <w:color w:val="FFFFFF"/>
      <w:sz w:val="26"/>
      <w:szCs w:val="22"/>
      <w:lang w:val="en-AU" w:eastAsia="en-AU"/>
    </w:rPr>
  </w:style>
  <w:style w:type="paragraph" w:customStyle="1" w:styleId="AgencyNameBold">
    <w:name w:val="AgencyNameBold"/>
    <w:basedOn w:val="AgencyName"/>
    <w:link w:val="AgencyNameBoldChar"/>
    <w:rsid w:val="00D47C32"/>
    <w:rPr>
      <w:b/>
      <w:bCs/>
      <w:spacing w:val="16"/>
      <w:szCs w:val="26"/>
    </w:rPr>
  </w:style>
  <w:style w:type="character" w:customStyle="1" w:styleId="AgencyNameBoldChar">
    <w:name w:val="AgencyNameBold Char"/>
    <w:basedOn w:val="AgencyNameChar"/>
    <w:link w:val="AgencyNameBold"/>
    <w:rsid w:val="00D47C32"/>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E606F6"/>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D47C32"/>
    <w:pPr>
      <w:numPr>
        <w:numId w:val="0"/>
      </w:numPr>
    </w:pPr>
    <w:rPr>
      <w:szCs w:val="26"/>
    </w:rPr>
  </w:style>
  <w:style w:type="character" w:customStyle="1" w:styleId="AppendixChar">
    <w:name w:val="Appendix Char"/>
    <w:basedOn w:val="Heading1Char"/>
    <w:link w:val="Appendix"/>
    <w:rsid w:val="00D47C32"/>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D47C32"/>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D47C32"/>
    <w:pPr>
      <w:numPr>
        <w:ilvl w:val="0"/>
        <w:numId w:val="0"/>
      </w:numPr>
      <w:ind w:left="851" w:hanging="851"/>
    </w:pPr>
  </w:style>
  <w:style w:type="character" w:customStyle="1" w:styleId="Appendix2Char">
    <w:name w:val="Appendix 2 Char"/>
    <w:basedOn w:val="Heading2Char"/>
    <w:link w:val="Appendix2"/>
    <w:rsid w:val="00D47C32"/>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D47C32"/>
    <w:rPr>
      <w:rFonts w:ascii="Tahoma" w:hAnsi="Tahoma" w:cs="Tahoma"/>
      <w:sz w:val="16"/>
      <w:szCs w:val="16"/>
    </w:rPr>
  </w:style>
  <w:style w:type="character" w:customStyle="1" w:styleId="BalloonTextChar">
    <w:name w:val="Balloon Text Char"/>
    <w:basedOn w:val="DefaultParagraphFont"/>
    <w:link w:val="BalloonText"/>
    <w:uiPriority w:val="99"/>
    <w:rsid w:val="00D47C32"/>
    <w:rPr>
      <w:rFonts w:ascii="Tahoma" w:hAnsi="Tahoma" w:cs="Tahoma"/>
      <w:sz w:val="16"/>
      <w:szCs w:val="16"/>
      <w:lang w:val="en-AU" w:eastAsia="en-AU"/>
    </w:rPr>
  </w:style>
  <w:style w:type="paragraph" w:styleId="BlockText">
    <w:name w:val="Block Text"/>
    <w:basedOn w:val="Normal"/>
    <w:unhideWhenUsed/>
    <w:rsid w:val="00D47C3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D47C32"/>
    <w:pPr>
      <w:ind w:left="720"/>
      <w:contextualSpacing/>
    </w:pPr>
  </w:style>
  <w:style w:type="paragraph" w:customStyle="1" w:styleId="Bullet">
    <w:name w:val="Bullet"/>
    <w:basedOn w:val="ListParagraph"/>
    <w:link w:val="BulletChar"/>
    <w:qFormat/>
    <w:rsid w:val="00D47C32"/>
    <w:pPr>
      <w:numPr>
        <w:numId w:val="12"/>
      </w:numPr>
      <w:tabs>
        <w:tab w:val="left" w:pos="567"/>
      </w:tabs>
      <w:spacing w:after="120"/>
      <w:contextualSpacing w:val="0"/>
    </w:pPr>
  </w:style>
  <w:style w:type="character" w:customStyle="1" w:styleId="BulletChar">
    <w:name w:val="Bullet Char"/>
    <w:basedOn w:val="DefaultParagraphFont"/>
    <w:link w:val="Bullet"/>
    <w:rsid w:val="00D47C32"/>
    <w:rPr>
      <w:rFonts w:ascii="Arial" w:hAnsi="Arial"/>
      <w:sz w:val="22"/>
      <w:lang w:val="en-AU" w:eastAsia="en-AU"/>
    </w:rPr>
  </w:style>
  <w:style w:type="character" w:styleId="CommentReference">
    <w:name w:val="annotation reference"/>
    <w:basedOn w:val="DefaultParagraphFont"/>
    <w:uiPriority w:val="99"/>
    <w:unhideWhenUsed/>
    <w:rsid w:val="00D47C32"/>
    <w:rPr>
      <w:sz w:val="16"/>
      <w:szCs w:val="16"/>
    </w:rPr>
  </w:style>
  <w:style w:type="paragraph" w:styleId="CommentText">
    <w:name w:val="annotation text"/>
    <w:basedOn w:val="Normal"/>
    <w:link w:val="CommentTextChar"/>
    <w:uiPriority w:val="99"/>
    <w:unhideWhenUsed/>
    <w:rsid w:val="00D47C32"/>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D47C32"/>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D47C32"/>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D47C32"/>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D47C32"/>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D47C32"/>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D47C32"/>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D47C32"/>
    <w:pPr>
      <w:jc w:val="both"/>
    </w:pPr>
    <w:rPr>
      <w:rFonts w:ascii="Calibri" w:hAnsi="Calibri"/>
      <w:szCs w:val="22"/>
      <w:lang w:val="en-US" w:eastAsia="en-US"/>
    </w:rPr>
  </w:style>
  <w:style w:type="paragraph" w:customStyle="1" w:styleId="FactSheetText">
    <w:name w:val="Fact Sheet Text"/>
    <w:basedOn w:val="Normal"/>
    <w:link w:val="FactSheetTextChar"/>
    <w:rsid w:val="00D47C32"/>
    <w:pPr>
      <w:spacing w:line="240" w:lineRule="atLeast"/>
    </w:pPr>
    <w:rPr>
      <w:color w:val="000000"/>
    </w:rPr>
  </w:style>
  <w:style w:type="character" w:customStyle="1" w:styleId="FactSheetTextChar">
    <w:name w:val="Fact Sheet Text Char"/>
    <w:link w:val="FactSheetText"/>
    <w:rsid w:val="00D47C32"/>
    <w:rPr>
      <w:rFonts w:ascii="Arial" w:hAnsi="Arial"/>
      <w:color w:val="000000"/>
      <w:sz w:val="22"/>
      <w:lang w:val="en-AU" w:eastAsia="en-AU"/>
    </w:rPr>
  </w:style>
  <w:style w:type="character" w:styleId="FollowedHyperlink">
    <w:name w:val="FollowedHyperlink"/>
    <w:basedOn w:val="DefaultParagraphFont"/>
    <w:uiPriority w:val="99"/>
    <w:unhideWhenUsed/>
    <w:rsid w:val="00D47C32"/>
    <w:rPr>
      <w:color w:val="954F72" w:themeColor="followedHyperlink"/>
      <w:u w:val="single"/>
    </w:rPr>
  </w:style>
  <w:style w:type="character" w:customStyle="1" w:styleId="FooterChar">
    <w:name w:val="Footer Char"/>
    <w:basedOn w:val="DefaultParagraphFont"/>
    <w:link w:val="Footer"/>
    <w:uiPriority w:val="99"/>
    <w:rsid w:val="00D47C32"/>
    <w:rPr>
      <w:rFonts w:ascii="Arial" w:hAnsi="Arial" w:cs="Arial"/>
      <w:sz w:val="22"/>
      <w:szCs w:val="22"/>
      <w:lang w:val="en-AU" w:eastAsia="en-AU"/>
    </w:rPr>
  </w:style>
  <w:style w:type="character" w:styleId="FootnoteReference">
    <w:name w:val="footnote reference"/>
    <w:basedOn w:val="DefaultParagraphFont"/>
    <w:uiPriority w:val="99"/>
    <w:unhideWhenUsed/>
    <w:rsid w:val="00D47C32"/>
    <w:rPr>
      <w:vertAlign w:val="superscript"/>
    </w:rPr>
  </w:style>
  <w:style w:type="paragraph" w:styleId="FootnoteText">
    <w:name w:val="footnote text"/>
    <w:basedOn w:val="Normal"/>
    <w:link w:val="FootnoteTextChar"/>
    <w:uiPriority w:val="99"/>
    <w:unhideWhenUsed/>
    <w:rsid w:val="00D47C32"/>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D47C32"/>
    <w:rPr>
      <w:rFonts w:ascii="Arial" w:eastAsiaTheme="minorHAnsi" w:hAnsi="Arial" w:cs="Helvetica"/>
      <w:lang w:val="en-AU" w:eastAsia="en-US"/>
    </w:rPr>
  </w:style>
  <w:style w:type="paragraph" w:customStyle="1" w:styleId="FormName">
    <w:name w:val="Form Name"/>
    <w:basedOn w:val="Normal"/>
    <w:next w:val="Normal"/>
    <w:link w:val="FormNameChar"/>
    <w:rsid w:val="00D47C32"/>
    <w:pPr>
      <w:tabs>
        <w:tab w:val="right" w:pos="9044"/>
      </w:tabs>
      <w:spacing w:after="120"/>
    </w:pPr>
    <w:rPr>
      <w:b/>
      <w:sz w:val="32"/>
      <w:szCs w:val="22"/>
    </w:rPr>
  </w:style>
  <w:style w:type="character" w:customStyle="1" w:styleId="FormNameChar">
    <w:name w:val="Form Name Char"/>
    <w:link w:val="FormName"/>
    <w:rsid w:val="00D47C32"/>
    <w:rPr>
      <w:rFonts w:ascii="Arial" w:hAnsi="Arial"/>
      <w:b/>
      <w:sz w:val="32"/>
      <w:szCs w:val="22"/>
      <w:lang w:val="en-AU" w:eastAsia="en-AU"/>
    </w:rPr>
  </w:style>
  <w:style w:type="paragraph" w:customStyle="1" w:styleId="FormText">
    <w:name w:val="Form Text"/>
    <w:basedOn w:val="Normal"/>
    <w:rsid w:val="00D47C32"/>
    <w:pPr>
      <w:spacing w:after="0"/>
    </w:pPr>
  </w:style>
  <w:style w:type="character" w:customStyle="1" w:styleId="HeaderChar">
    <w:name w:val="Header Char"/>
    <w:basedOn w:val="DefaultParagraphFont"/>
    <w:link w:val="Header"/>
    <w:uiPriority w:val="99"/>
    <w:rsid w:val="00D47C32"/>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D47C32"/>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D47C32"/>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D47C32"/>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D47C32"/>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D47C32"/>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D47C32"/>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D47C32"/>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D47C32"/>
    <w:pPr>
      <w:widowControl w:val="0"/>
      <w:numPr>
        <w:ilvl w:val="1"/>
        <w:numId w:val="20"/>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D47C32"/>
    <w:rPr>
      <w:rFonts w:ascii="Helvetica" w:hAnsi="Helvetica" w:cs="Helvetica"/>
      <w:sz w:val="22"/>
      <w:szCs w:val="22"/>
      <w:lang w:val="en-US" w:eastAsia="en-US"/>
    </w:rPr>
  </w:style>
  <w:style w:type="paragraph" w:customStyle="1" w:styleId="HelvHead1">
    <w:name w:val="Helv Head 1"/>
    <w:link w:val="HelvHead1Char"/>
    <w:rsid w:val="00D47C32"/>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D47C32"/>
    <w:rPr>
      <w:rFonts w:ascii="Helvetica" w:hAnsi="Helvetica" w:cs="Helvetica"/>
      <w:b/>
      <w:bCs/>
      <w:color w:val="013861"/>
      <w:sz w:val="28"/>
      <w:szCs w:val="28"/>
      <w:lang w:val="en-US" w:eastAsia="en-US"/>
    </w:rPr>
  </w:style>
  <w:style w:type="paragraph" w:customStyle="1" w:styleId="HelvHead2">
    <w:name w:val="Helv Head 2"/>
    <w:link w:val="HelvHead2Char"/>
    <w:rsid w:val="00D47C32"/>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D47C32"/>
    <w:rPr>
      <w:rFonts w:ascii="Helvetica" w:hAnsi="Helvetica" w:cs="Helvetica"/>
      <w:b/>
      <w:bCs/>
      <w:color w:val="013861"/>
      <w:sz w:val="24"/>
      <w:szCs w:val="24"/>
      <w:lang w:val="en-US" w:eastAsia="en-US"/>
    </w:rPr>
  </w:style>
  <w:style w:type="paragraph" w:customStyle="1" w:styleId="HelvNorm">
    <w:name w:val="Helv Norm"/>
    <w:basedOn w:val="Normal"/>
    <w:link w:val="HelvNormChar"/>
    <w:rsid w:val="00D47C32"/>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D47C32"/>
    <w:rPr>
      <w:rFonts w:ascii="Arial" w:hAnsi="Arial" w:cs="Helvetica"/>
      <w:bCs/>
      <w:sz w:val="22"/>
      <w:szCs w:val="22"/>
      <w:lang w:val="en-US" w:eastAsia="en-US"/>
    </w:rPr>
  </w:style>
  <w:style w:type="character" w:styleId="Hyperlink">
    <w:name w:val="Hyperlink"/>
    <w:basedOn w:val="DefaultParagraphFont"/>
    <w:uiPriority w:val="99"/>
    <w:unhideWhenUsed/>
    <w:rsid w:val="00D47C32"/>
    <w:rPr>
      <w:color w:val="0563C1" w:themeColor="hyperlink"/>
      <w:u w:val="single"/>
    </w:rPr>
  </w:style>
  <w:style w:type="paragraph" w:styleId="NoSpacing">
    <w:name w:val="No Spacing"/>
    <w:uiPriority w:val="1"/>
    <w:qFormat/>
    <w:rsid w:val="00D47C32"/>
    <w:rPr>
      <w:rFonts w:ascii="Arial" w:eastAsia="Calibri" w:hAnsi="Arial"/>
      <w:sz w:val="22"/>
      <w:lang w:val="en-AU" w:eastAsia="en-US"/>
    </w:rPr>
  </w:style>
  <w:style w:type="paragraph" w:styleId="NormalWeb">
    <w:name w:val="Normal (Web)"/>
    <w:basedOn w:val="Normal"/>
    <w:uiPriority w:val="99"/>
    <w:unhideWhenUsed/>
    <w:rsid w:val="00D47C32"/>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D47C32"/>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D47C32"/>
    <w:rPr>
      <w:rFonts w:ascii="Arial" w:hAnsi="Arial"/>
      <w:lang w:val="en-AU" w:eastAsia="en-AU"/>
    </w:rPr>
  </w:style>
  <w:style w:type="paragraph" w:customStyle="1" w:styleId="NTGFooterDepartmentof">
    <w:name w:val="NTG Footer Department of"/>
    <w:link w:val="NTGFooterDepartmentofChar"/>
    <w:uiPriority w:val="7"/>
    <w:qFormat/>
    <w:rsid w:val="00D47C32"/>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D47C32"/>
    <w:rPr>
      <w:rFonts w:ascii="Arial" w:eastAsia="Calibri" w:hAnsi="Arial" w:cs="Arial"/>
      <w:caps/>
      <w:szCs w:val="16"/>
      <w:lang w:val="en-AU" w:eastAsia="en-US"/>
    </w:rPr>
  </w:style>
  <w:style w:type="paragraph" w:customStyle="1" w:styleId="Nums">
    <w:name w:val="Nums"/>
    <w:basedOn w:val="HelvNorm"/>
    <w:link w:val="NumsChar"/>
    <w:qFormat/>
    <w:rsid w:val="00D47C32"/>
    <w:pPr>
      <w:numPr>
        <w:numId w:val="21"/>
      </w:numPr>
      <w:spacing w:before="0" w:after="200"/>
    </w:pPr>
    <w:rPr>
      <w:rFonts w:cs="Arial"/>
    </w:rPr>
  </w:style>
  <w:style w:type="character" w:customStyle="1" w:styleId="NumsChar">
    <w:name w:val="Nums Char"/>
    <w:basedOn w:val="BulletChar"/>
    <w:link w:val="Nums"/>
    <w:rsid w:val="00D47C32"/>
    <w:rPr>
      <w:rFonts w:ascii="Arial" w:hAnsi="Arial" w:cs="Arial"/>
      <w:bCs/>
      <w:sz w:val="22"/>
      <w:szCs w:val="22"/>
      <w:lang w:val="en-US" w:eastAsia="en-US"/>
    </w:rPr>
  </w:style>
  <w:style w:type="character" w:styleId="PageNumber">
    <w:name w:val="page number"/>
    <w:basedOn w:val="DefaultParagraphFont"/>
    <w:rsid w:val="00D47C32"/>
  </w:style>
  <w:style w:type="character" w:styleId="PlaceholderText">
    <w:name w:val="Placeholder Text"/>
    <w:basedOn w:val="DefaultParagraphFont"/>
    <w:uiPriority w:val="99"/>
    <w:semiHidden/>
    <w:rsid w:val="00D47C32"/>
    <w:rPr>
      <w:color w:val="808080"/>
    </w:rPr>
  </w:style>
  <w:style w:type="paragraph" w:customStyle="1" w:styleId="Reporttitle">
    <w:name w:val="Report title"/>
    <w:uiPriority w:val="99"/>
    <w:rsid w:val="00D47C32"/>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D47C32"/>
    <w:pPr>
      <w:numPr>
        <w:numId w:val="22"/>
      </w:numPr>
    </w:pPr>
  </w:style>
  <w:style w:type="paragraph" w:customStyle="1" w:styleId="SubTitle">
    <w:name w:val="Sub Title"/>
    <w:basedOn w:val="Normal"/>
    <w:autoRedefine/>
    <w:semiHidden/>
    <w:rsid w:val="00D47C32"/>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D47C32"/>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D47C32"/>
    <w:rPr>
      <w:rFonts w:ascii="Arial" w:eastAsiaTheme="majorEastAsia" w:hAnsi="Arial" w:cstheme="majorBidi"/>
      <w:sz w:val="24"/>
      <w:szCs w:val="24"/>
      <w:lang w:val="en-AU" w:eastAsia="en-AU"/>
    </w:rPr>
  </w:style>
  <w:style w:type="table" w:styleId="TableGrid">
    <w:name w:val="Table Grid"/>
    <w:basedOn w:val="TableNormal"/>
    <w:uiPriority w:val="59"/>
    <w:rsid w:val="00D47C32"/>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D47C32"/>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D47C32"/>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D47C32"/>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D47C32"/>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D47C32"/>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D47C32"/>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D47C32"/>
    <w:pPr>
      <w:spacing w:after="100"/>
      <w:ind w:left="880"/>
    </w:pPr>
  </w:style>
  <w:style w:type="paragraph" w:styleId="TOCHeading">
    <w:name w:val="TOC Heading"/>
    <w:basedOn w:val="Heading1"/>
    <w:next w:val="Normal"/>
    <w:uiPriority w:val="39"/>
    <w:semiHidden/>
    <w:unhideWhenUsed/>
    <w:qFormat/>
    <w:rsid w:val="00D47C32"/>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D47C32"/>
    <w:pPr>
      <w:jc w:val="right"/>
    </w:pPr>
    <w:rPr>
      <w:color w:val="auto"/>
      <w:spacing w:val="8"/>
      <w:sz w:val="28"/>
      <w:szCs w:val="28"/>
    </w:rPr>
  </w:style>
  <w:style w:type="character" w:customStyle="1" w:styleId="guidenotesChar">
    <w:name w:val="guide notes Char"/>
    <w:link w:val="guidenotes"/>
    <w:rsid w:val="0005133C"/>
    <w:rPr>
      <w:rFonts w:ascii="Arial" w:hAnsi="Arial"/>
      <w:i/>
      <w:vanish/>
      <w:color w:val="00FF00"/>
      <w:spacing w:val="-2"/>
      <w:sz w:val="22"/>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357B3C13-5DFE-4382-9BBD-4EB2C6AC777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18</vt:lpstr>
    </vt:vector>
  </TitlesOfParts>
  <Company>Transport and Works</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e9f</dc:creator>
  <cp:lastModifiedBy>Robert Haakmeester</cp:lastModifiedBy>
  <cp:revision>2</cp:revision>
  <cp:lastPrinted>2019-11-05T03:08:00Z</cp:lastPrinted>
  <dcterms:created xsi:type="dcterms:W3CDTF">2022-03-10T05:24:00Z</dcterms:created>
  <dcterms:modified xsi:type="dcterms:W3CDTF">2022-03-10T05:24:00Z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DD7D60EAAD664AAB89DF95DE27A34230</vt:lpwstr>
  </property>
  <property fmtid="{D5CDD505-2E9C-101B-9397-08002B2CF9AE}" pid="4" name="ade_ContentType">
    <vt:lpwstr>2</vt:lpwstr>
  </property>
</Properties>
</file>