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65BB" w:rsidRDefault="005965BB" w:rsidP="005965BB">
      <w:pPr>
        <w:pStyle w:val="Heading1"/>
      </w:pPr>
      <w:bookmarkStart w:id="0" w:name="_Toc390823444"/>
      <w:bookmarkStart w:id="1" w:name="_Toc391429136"/>
      <w:bookmarkStart w:id="2" w:name="_Toc391438540"/>
      <w:bookmarkStart w:id="3" w:name="_Toc396034062"/>
      <w:bookmarkStart w:id="4" w:name="_Toc398800245"/>
      <w:bookmarkStart w:id="5" w:name="_Toc134020263"/>
      <w:r w:rsidRPr="00B16A8C">
        <w:t>E</w:t>
      </w:r>
      <w:r w:rsidRPr="00B16A8C">
        <w:rPr>
          <w:caps w:val="0"/>
        </w:rPr>
        <w:t>ARTHWORKS</w:t>
      </w:r>
      <w:bookmarkStart w:id="6" w:name="_GoBack"/>
      <w:bookmarkEnd w:id="0"/>
      <w:bookmarkEnd w:id="1"/>
      <w:bookmarkEnd w:id="2"/>
      <w:bookmarkEnd w:id="3"/>
      <w:bookmarkEnd w:id="4"/>
      <w:bookmarkEnd w:id="5"/>
      <w:bookmarkEnd w:id="6"/>
    </w:p>
    <w:p w:rsidR="005965BB" w:rsidRPr="00EB2CFF" w:rsidRDefault="005965BB" w:rsidP="005965BB">
      <w:r>
        <w:t xml:space="preserve">DIPL Roadworks Master – </w:t>
      </w:r>
      <w:r w:rsidR="000F5A13">
        <w:t>August</w:t>
      </w:r>
      <w:r>
        <w:t xml:space="preserve"> 2023</w:t>
      </w:r>
    </w:p>
    <w:p w:rsidR="005965BB" w:rsidRDefault="005965BB" w:rsidP="005965BB">
      <w:pPr>
        <w:pStyle w:val="Heading2"/>
        <w:rPr>
          <w:lang w:val="en-AU"/>
        </w:rPr>
      </w:pPr>
      <w:bookmarkStart w:id="7" w:name="_Toc390823445"/>
      <w:bookmarkStart w:id="8" w:name="_Toc391429137"/>
      <w:bookmarkStart w:id="9" w:name="_Toc396034063"/>
      <w:bookmarkStart w:id="10" w:name="_Toc398800246"/>
      <w:r>
        <w:rPr>
          <w:lang w:val="en-AU"/>
        </w:rPr>
        <w:t>General</w:t>
      </w:r>
    </w:p>
    <w:p w:rsidR="005965BB" w:rsidRPr="00503619" w:rsidRDefault="005965BB" w:rsidP="005965BB">
      <w:r>
        <w:t>Gravel obtained from Pastoral Leasehold land is to be supplied at no cost to the Principal.</w:t>
      </w:r>
    </w:p>
    <w:p w:rsidR="005965BB" w:rsidRPr="00BC1BEB" w:rsidRDefault="005965BB" w:rsidP="005965BB">
      <w:pPr>
        <w:pStyle w:val="Heading2"/>
        <w:rPr>
          <w:lang w:val="en-AU"/>
        </w:rPr>
      </w:pPr>
      <w:r w:rsidRPr="00BC1BEB">
        <w:rPr>
          <w:lang w:val="en-AU"/>
        </w:rPr>
        <w:t>Standards</w:t>
      </w:r>
      <w:bookmarkEnd w:id="7"/>
      <w:bookmarkEnd w:id="8"/>
      <w:bookmarkEnd w:id="9"/>
      <w:bookmarkEnd w:id="10"/>
      <w:r>
        <w:t xml:space="preserve"> and Publications</w:t>
      </w:r>
    </w:p>
    <w:p w:rsidR="005965BB" w:rsidRDefault="005965BB" w:rsidP="005965BB">
      <w:r w:rsidRPr="00BC1BEB">
        <w:t>Conform to the following Standard and Publication unless specified otherwise:</w:t>
      </w:r>
    </w:p>
    <w:p w:rsidR="005965BB" w:rsidRDefault="005965BB" w:rsidP="005965BB">
      <w:pPr>
        <w:spacing w:after="40"/>
      </w:pPr>
      <w:r w:rsidRPr="00B91363">
        <w:rPr>
          <w:rFonts w:eastAsia="Calibri"/>
        </w:rPr>
        <w:t>Use Standards, and their amendments, current as at the date for the close of tenders except where different editions and/or amendments are re</w:t>
      </w:r>
      <w:r>
        <w:rPr>
          <w:rFonts w:eastAsia="Calibri"/>
        </w:rPr>
        <w:t>quired by statutory authorities</w:t>
      </w:r>
      <w:r w:rsidRPr="00B019AC">
        <w:rPr>
          <w:rFonts w:eastAsia="Calibri" w:cs="Arial"/>
        </w:rPr>
        <w:t>, including, but not limited to, NATA and the National Construction Code including</w:t>
      </w:r>
      <w:r>
        <w:rPr>
          <w:rFonts w:eastAsia="Calibri" w:cs="Arial"/>
        </w:rPr>
        <w:t xml:space="preserve"> the Building Code of Australia</w:t>
      </w:r>
      <w:r>
        <w:rPr>
          <w:rFonts w:eastAsia="Calibri"/>
        </w:rPr>
        <w:t>.</w:t>
      </w:r>
    </w:p>
    <w:p w:rsidR="005965BB" w:rsidRPr="00BC1BEB" w:rsidRDefault="005965BB" w:rsidP="005965BB">
      <w:pPr>
        <w:spacing w:after="40"/>
      </w:pPr>
    </w:p>
    <w:p w:rsidR="005965BB" w:rsidRPr="00BC1BEB" w:rsidRDefault="005965BB" w:rsidP="005965BB">
      <w:r w:rsidRPr="00BC1BEB">
        <w:t>AS 1289</w:t>
      </w:r>
      <w:r>
        <w:t xml:space="preserve"> (series)</w:t>
      </w:r>
      <w:r w:rsidRPr="00BC1BEB">
        <w:tab/>
        <w:t>Methods of</w:t>
      </w:r>
      <w:r>
        <w:t xml:space="preserve"> testing soils for engineering p</w:t>
      </w:r>
      <w:r w:rsidRPr="00BC1BEB">
        <w:t>urposes.</w:t>
      </w:r>
      <w:r w:rsidR="000F5A13">
        <w:t xml:space="preserve"> Use Wet Preparation Method where this is an option in an applicable test method.</w:t>
      </w:r>
    </w:p>
    <w:p w:rsidR="005965BB" w:rsidRDefault="005965BB" w:rsidP="005965BB">
      <w:r w:rsidRPr="00BC1BEB">
        <w:t>NT</w:t>
      </w:r>
      <w:r>
        <w:t>M</w:t>
      </w:r>
      <w:r w:rsidRPr="00BC1BEB">
        <w:t>TM</w:t>
      </w:r>
      <w:r w:rsidRPr="00BC1BEB">
        <w:tab/>
      </w:r>
      <w:r>
        <w:t xml:space="preserve">NT </w:t>
      </w:r>
      <w:r w:rsidRPr="00BC1BEB">
        <w:t>Materials Testing Manual</w:t>
      </w:r>
      <w:r>
        <w:t xml:space="preserve"> accessible via </w:t>
      </w:r>
      <w:hyperlink r:id="rId8" w:history="1">
        <w:r w:rsidRPr="00BC3E72">
          <w:rPr>
            <w:rStyle w:val="Hyperlink"/>
          </w:rPr>
          <w:t>https://dipl.nt.gov.au/industry/technical-standards-guidelines-and-specifications/materials-testing-manual</w:t>
        </w:r>
      </w:hyperlink>
      <w:r w:rsidRPr="00BC1BEB">
        <w:t>.</w:t>
      </w:r>
    </w:p>
    <w:p w:rsidR="005965BB" w:rsidRPr="00BC1BEB" w:rsidRDefault="005965BB" w:rsidP="005965BB">
      <w:pPr>
        <w:ind w:left="1418" w:hanging="1418"/>
      </w:pPr>
      <w:r>
        <w:t>NTTM</w:t>
      </w:r>
      <w:r>
        <w:tab/>
        <w:t>NT Test Methods</w:t>
      </w:r>
    </w:p>
    <w:p w:rsidR="005965BB" w:rsidRPr="00BC1BEB" w:rsidRDefault="005965BB" w:rsidP="005965BB">
      <w:pPr>
        <w:pStyle w:val="Heading2"/>
        <w:rPr>
          <w:lang w:val="en-AU"/>
        </w:rPr>
      </w:pPr>
      <w:bookmarkStart w:id="11" w:name="_Toc390823446"/>
      <w:bookmarkStart w:id="12" w:name="_Toc391429138"/>
      <w:bookmarkStart w:id="13" w:name="_Toc396034064"/>
      <w:bookmarkStart w:id="14" w:name="_Toc398800247"/>
      <w:r w:rsidRPr="00BC1BEB">
        <w:rPr>
          <w:lang w:val="en-AU"/>
        </w:rPr>
        <w:t>Definitions</w:t>
      </w:r>
      <w:bookmarkEnd w:id="11"/>
      <w:bookmarkEnd w:id="12"/>
      <w:bookmarkEnd w:id="13"/>
      <w:bookmarkEnd w:id="14"/>
    </w:p>
    <w:tbl>
      <w:tblPr>
        <w:tblW w:w="9641" w:type="dxa"/>
        <w:jc w:val="center"/>
        <w:tblLook w:val="04A0" w:firstRow="1" w:lastRow="0" w:firstColumn="1" w:lastColumn="0" w:noHBand="0" w:noVBand="1"/>
      </w:tblPr>
      <w:tblGrid>
        <w:gridCol w:w="2701"/>
        <w:gridCol w:w="6940"/>
      </w:tblGrid>
      <w:tr w:rsidR="005965BB" w:rsidTr="005A0B13">
        <w:trPr>
          <w:cantSplit/>
          <w:trHeight w:val="300"/>
          <w:tblHeader/>
          <w:jc w:val="center"/>
        </w:trPr>
        <w:tc>
          <w:tcPr>
            <w:tcW w:w="964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65BB" w:rsidRPr="00C11497" w:rsidRDefault="005965BB" w:rsidP="005A0B13">
            <w:pPr>
              <w:spacing w:before="60" w:after="60"/>
              <w:rPr>
                <w:rFonts w:cs="Arial"/>
                <w:b/>
                <w:bCs/>
                <w:color w:val="000000"/>
                <w:szCs w:val="22"/>
              </w:rPr>
            </w:pPr>
            <w:r w:rsidRPr="00C11497">
              <w:rPr>
                <w:rFonts w:cs="Arial"/>
                <w:b/>
                <w:bCs/>
                <w:color w:val="000000"/>
                <w:szCs w:val="22"/>
              </w:rPr>
              <w:t>Ta</w:t>
            </w:r>
            <w:r>
              <w:rPr>
                <w:rFonts w:cs="Arial"/>
                <w:b/>
                <w:bCs/>
                <w:color w:val="000000"/>
                <w:szCs w:val="22"/>
              </w:rPr>
              <w:t>ble - Definitions - Earthworks</w:t>
            </w:r>
          </w:p>
        </w:tc>
      </w:tr>
      <w:tr w:rsidR="005965BB" w:rsidTr="005A0B13">
        <w:trPr>
          <w:cantSplit/>
          <w:trHeight w:val="300"/>
          <w:tblHeader/>
          <w:jc w:val="center"/>
        </w:trPr>
        <w:tc>
          <w:tcPr>
            <w:tcW w:w="2701" w:type="dxa"/>
            <w:tcBorders>
              <w:top w:val="nil"/>
              <w:left w:val="single" w:sz="4" w:space="0" w:color="auto"/>
              <w:bottom w:val="single" w:sz="4" w:space="0" w:color="auto"/>
              <w:right w:val="single" w:sz="4" w:space="0" w:color="auto"/>
            </w:tcBorders>
            <w:shd w:val="clear" w:color="auto" w:fill="auto"/>
            <w:vAlign w:val="center"/>
            <w:hideMark/>
          </w:tcPr>
          <w:p w:rsidR="005965BB" w:rsidRPr="00C11497" w:rsidRDefault="005965BB" w:rsidP="005A0B13">
            <w:pPr>
              <w:spacing w:before="60" w:after="60"/>
              <w:rPr>
                <w:rFonts w:cs="Arial"/>
                <w:b/>
                <w:bCs/>
                <w:color w:val="000000"/>
                <w:szCs w:val="22"/>
              </w:rPr>
            </w:pPr>
            <w:r w:rsidRPr="00C11497">
              <w:rPr>
                <w:rFonts w:cs="Arial"/>
                <w:b/>
                <w:bCs/>
                <w:color w:val="000000"/>
                <w:szCs w:val="22"/>
              </w:rPr>
              <w:t>TERM</w:t>
            </w:r>
          </w:p>
        </w:tc>
        <w:tc>
          <w:tcPr>
            <w:tcW w:w="6940" w:type="dxa"/>
            <w:tcBorders>
              <w:top w:val="nil"/>
              <w:left w:val="nil"/>
              <w:bottom w:val="single" w:sz="4" w:space="0" w:color="auto"/>
              <w:right w:val="single" w:sz="4" w:space="0" w:color="auto"/>
            </w:tcBorders>
            <w:shd w:val="clear" w:color="auto" w:fill="auto"/>
            <w:vAlign w:val="center"/>
            <w:hideMark/>
          </w:tcPr>
          <w:p w:rsidR="005965BB" w:rsidRPr="00C11497" w:rsidRDefault="005965BB" w:rsidP="005A0B13">
            <w:pPr>
              <w:spacing w:before="60" w:after="60"/>
              <w:rPr>
                <w:rFonts w:cs="Arial"/>
                <w:b/>
                <w:bCs/>
                <w:color w:val="000000"/>
                <w:szCs w:val="22"/>
              </w:rPr>
            </w:pPr>
            <w:r w:rsidRPr="00C11497">
              <w:rPr>
                <w:rFonts w:cs="Arial"/>
                <w:b/>
                <w:bCs/>
                <w:color w:val="000000"/>
                <w:szCs w:val="22"/>
              </w:rPr>
              <w:t>DEFINITION</w:t>
            </w:r>
          </w:p>
        </w:tc>
      </w:tr>
      <w:tr w:rsidR="005965BB" w:rsidTr="005A0B13">
        <w:trPr>
          <w:cantSplit/>
          <w:trHeight w:val="570"/>
          <w:jc w:val="center"/>
        </w:trPr>
        <w:tc>
          <w:tcPr>
            <w:tcW w:w="2701" w:type="dxa"/>
            <w:tcBorders>
              <w:top w:val="nil"/>
              <w:left w:val="single" w:sz="4" w:space="0" w:color="auto"/>
              <w:bottom w:val="single" w:sz="4" w:space="0" w:color="auto"/>
              <w:right w:val="single" w:sz="4" w:space="0" w:color="auto"/>
            </w:tcBorders>
            <w:shd w:val="clear" w:color="auto" w:fill="auto"/>
            <w:vAlign w:val="center"/>
            <w:hideMark/>
          </w:tcPr>
          <w:p w:rsidR="005965BB" w:rsidRPr="00C11497" w:rsidRDefault="005965BB" w:rsidP="005A0B13">
            <w:pPr>
              <w:spacing w:before="60" w:after="60"/>
              <w:rPr>
                <w:rFonts w:cs="Arial"/>
                <w:b/>
                <w:bCs/>
                <w:color w:val="000000"/>
                <w:szCs w:val="22"/>
              </w:rPr>
            </w:pPr>
            <w:r w:rsidRPr="00C11497">
              <w:rPr>
                <w:rFonts w:cs="Arial"/>
                <w:b/>
                <w:bCs/>
                <w:color w:val="000000"/>
                <w:szCs w:val="22"/>
              </w:rPr>
              <w:t>Carriageway</w:t>
            </w:r>
          </w:p>
        </w:tc>
        <w:tc>
          <w:tcPr>
            <w:tcW w:w="6940" w:type="dxa"/>
            <w:tcBorders>
              <w:top w:val="nil"/>
              <w:left w:val="nil"/>
              <w:bottom w:val="single" w:sz="4" w:space="0" w:color="auto"/>
              <w:right w:val="single" w:sz="4" w:space="0" w:color="auto"/>
            </w:tcBorders>
            <w:shd w:val="clear" w:color="auto" w:fill="auto"/>
            <w:vAlign w:val="center"/>
            <w:hideMark/>
          </w:tcPr>
          <w:p w:rsidR="005965BB" w:rsidRPr="00C11497" w:rsidRDefault="005965BB" w:rsidP="005A0B13">
            <w:pPr>
              <w:spacing w:before="60" w:after="60"/>
              <w:rPr>
                <w:rFonts w:cs="Arial"/>
                <w:color w:val="000000"/>
                <w:szCs w:val="22"/>
              </w:rPr>
            </w:pPr>
            <w:r w:rsidRPr="00C11497">
              <w:rPr>
                <w:rFonts w:cs="Arial"/>
                <w:color w:val="000000"/>
                <w:szCs w:val="22"/>
              </w:rPr>
              <w:t>That portion of a road for the use of vehicles including shoulders and auxiliary lanes.</w:t>
            </w:r>
          </w:p>
        </w:tc>
      </w:tr>
      <w:tr w:rsidR="005965BB" w:rsidTr="005A0B13">
        <w:trPr>
          <w:cantSplit/>
          <w:trHeight w:val="1425"/>
          <w:jc w:val="center"/>
        </w:trPr>
        <w:tc>
          <w:tcPr>
            <w:tcW w:w="2701" w:type="dxa"/>
            <w:tcBorders>
              <w:top w:val="nil"/>
              <w:left w:val="single" w:sz="4" w:space="0" w:color="auto"/>
              <w:bottom w:val="single" w:sz="4" w:space="0" w:color="auto"/>
              <w:right w:val="single" w:sz="4" w:space="0" w:color="auto"/>
            </w:tcBorders>
            <w:shd w:val="clear" w:color="auto" w:fill="auto"/>
            <w:vAlign w:val="center"/>
            <w:hideMark/>
          </w:tcPr>
          <w:p w:rsidR="005965BB" w:rsidRPr="00C11497" w:rsidRDefault="005965BB" w:rsidP="005A0B13">
            <w:pPr>
              <w:spacing w:before="60" w:after="60"/>
              <w:rPr>
                <w:rFonts w:cs="Arial"/>
                <w:b/>
                <w:bCs/>
                <w:color w:val="000000"/>
                <w:szCs w:val="22"/>
              </w:rPr>
            </w:pPr>
            <w:r w:rsidRPr="00C11497">
              <w:rPr>
                <w:rFonts w:cs="Arial"/>
                <w:b/>
                <w:bCs/>
                <w:color w:val="000000"/>
                <w:szCs w:val="22"/>
              </w:rPr>
              <w:t>Formation</w:t>
            </w:r>
          </w:p>
        </w:tc>
        <w:tc>
          <w:tcPr>
            <w:tcW w:w="6940" w:type="dxa"/>
            <w:tcBorders>
              <w:top w:val="nil"/>
              <w:left w:val="nil"/>
              <w:bottom w:val="single" w:sz="4" w:space="0" w:color="auto"/>
              <w:right w:val="single" w:sz="4" w:space="0" w:color="auto"/>
            </w:tcBorders>
            <w:shd w:val="clear" w:color="auto" w:fill="auto"/>
            <w:vAlign w:val="center"/>
            <w:hideMark/>
          </w:tcPr>
          <w:p w:rsidR="005965BB" w:rsidRPr="00C11497" w:rsidRDefault="005965BB" w:rsidP="005A0B13">
            <w:pPr>
              <w:spacing w:before="60" w:after="60"/>
              <w:rPr>
                <w:rFonts w:cs="Arial"/>
                <w:color w:val="000000"/>
                <w:szCs w:val="22"/>
              </w:rPr>
            </w:pPr>
            <w:r w:rsidRPr="00C11497">
              <w:rPr>
                <w:rFonts w:cs="Arial"/>
                <w:color w:val="000000"/>
                <w:szCs w:val="22"/>
              </w:rPr>
              <w:t>The surface of finished earthworks on which a road pavement is constructed.</w:t>
            </w:r>
            <w:r>
              <w:rPr>
                <w:rFonts w:cs="Arial"/>
                <w:color w:val="000000"/>
                <w:szCs w:val="22"/>
              </w:rPr>
              <w:t xml:space="preserve"> </w:t>
            </w:r>
            <w:r w:rsidRPr="00C11497">
              <w:rPr>
                <w:rFonts w:cs="Arial"/>
                <w:color w:val="000000"/>
                <w:szCs w:val="22"/>
              </w:rPr>
              <w:t>It includes the earthworks (cut and fill), subgrade and the general shaping of the drainage.</w:t>
            </w:r>
            <w:r>
              <w:rPr>
                <w:rFonts w:cs="Arial"/>
                <w:color w:val="000000"/>
                <w:szCs w:val="22"/>
              </w:rPr>
              <w:t xml:space="preserve"> </w:t>
            </w:r>
            <w:r w:rsidRPr="00C11497">
              <w:rPr>
                <w:rFonts w:cs="Arial"/>
                <w:color w:val="000000"/>
                <w:szCs w:val="22"/>
              </w:rPr>
              <w:t>The formation width is therefore the distance of cut or fill including table drain(s), out to the points of any batters.</w:t>
            </w:r>
          </w:p>
        </w:tc>
      </w:tr>
      <w:tr w:rsidR="005965BB" w:rsidTr="005A0B13">
        <w:trPr>
          <w:cantSplit/>
          <w:trHeight w:val="855"/>
          <w:jc w:val="center"/>
        </w:trPr>
        <w:tc>
          <w:tcPr>
            <w:tcW w:w="2701" w:type="dxa"/>
            <w:tcBorders>
              <w:top w:val="nil"/>
              <w:left w:val="single" w:sz="4" w:space="0" w:color="auto"/>
              <w:bottom w:val="single" w:sz="4" w:space="0" w:color="auto"/>
              <w:right w:val="single" w:sz="4" w:space="0" w:color="auto"/>
            </w:tcBorders>
            <w:shd w:val="clear" w:color="auto" w:fill="auto"/>
            <w:vAlign w:val="center"/>
            <w:hideMark/>
          </w:tcPr>
          <w:p w:rsidR="005965BB" w:rsidRPr="00C11497" w:rsidRDefault="005965BB" w:rsidP="005A0B13">
            <w:pPr>
              <w:spacing w:before="60" w:after="60"/>
              <w:rPr>
                <w:rFonts w:cs="Arial"/>
                <w:b/>
                <w:bCs/>
                <w:color w:val="000000"/>
                <w:szCs w:val="22"/>
              </w:rPr>
            </w:pPr>
            <w:r w:rsidRPr="00C11497">
              <w:rPr>
                <w:rFonts w:cs="Arial"/>
                <w:b/>
                <w:bCs/>
                <w:color w:val="000000"/>
                <w:szCs w:val="22"/>
              </w:rPr>
              <w:t>Material Properties</w:t>
            </w:r>
          </w:p>
        </w:tc>
        <w:tc>
          <w:tcPr>
            <w:tcW w:w="6940" w:type="dxa"/>
            <w:tcBorders>
              <w:top w:val="nil"/>
              <w:left w:val="nil"/>
              <w:bottom w:val="single" w:sz="4" w:space="0" w:color="auto"/>
              <w:right w:val="single" w:sz="4" w:space="0" w:color="auto"/>
            </w:tcBorders>
            <w:shd w:val="clear" w:color="auto" w:fill="auto"/>
            <w:vAlign w:val="center"/>
            <w:hideMark/>
          </w:tcPr>
          <w:p w:rsidR="005965BB" w:rsidRPr="00C11497" w:rsidRDefault="005965BB" w:rsidP="005A0B13">
            <w:pPr>
              <w:spacing w:before="60" w:after="60"/>
              <w:rPr>
                <w:rFonts w:cs="Arial"/>
                <w:color w:val="000000"/>
                <w:szCs w:val="22"/>
              </w:rPr>
            </w:pPr>
            <w:r w:rsidRPr="00C11497">
              <w:rPr>
                <w:rFonts w:cs="Arial"/>
                <w:color w:val="000000"/>
                <w:szCs w:val="22"/>
              </w:rPr>
              <w:t>Intrinsic properties of the sourced material. These may differ from the properties required when the material is incorporated into the works.</w:t>
            </w:r>
          </w:p>
        </w:tc>
      </w:tr>
      <w:tr w:rsidR="005965BB" w:rsidTr="005A0B13">
        <w:trPr>
          <w:cantSplit/>
          <w:trHeight w:val="1710"/>
          <w:jc w:val="center"/>
        </w:trPr>
        <w:tc>
          <w:tcPr>
            <w:tcW w:w="2701" w:type="dxa"/>
            <w:tcBorders>
              <w:top w:val="nil"/>
              <w:left w:val="single" w:sz="4" w:space="0" w:color="auto"/>
              <w:bottom w:val="single" w:sz="4" w:space="0" w:color="auto"/>
              <w:right w:val="single" w:sz="4" w:space="0" w:color="auto"/>
            </w:tcBorders>
            <w:shd w:val="clear" w:color="auto" w:fill="auto"/>
            <w:vAlign w:val="center"/>
            <w:hideMark/>
          </w:tcPr>
          <w:p w:rsidR="005965BB" w:rsidRPr="00C11497" w:rsidRDefault="005965BB" w:rsidP="005A0B13">
            <w:pPr>
              <w:spacing w:before="60" w:after="60"/>
              <w:rPr>
                <w:rFonts w:cs="Arial"/>
                <w:b/>
                <w:bCs/>
                <w:color w:val="000000"/>
                <w:szCs w:val="22"/>
              </w:rPr>
            </w:pPr>
            <w:r w:rsidRPr="00C11497">
              <w:rPr>
                <w:rFonts w:cs="Arial"/>
                <w:b/>
                <w:bCs/>
                <w:color w:val="000000"/>
                <w:szCs w:val="22"/>
              </w:rPr>
              <w:t>Offlet Drain</w:t>
            </w:r>
          </w:p>
        </w:tc>
        <w:tc>
          <w:tcPr>
            <w:tcW w:w="6940" w:type="dxa"/>
            <w:tcBorders>
              <w:top w:val="nil"/>
              <w:left w:val="nil"/>
              <w:bottom w:val="single" w:sz="4" w:space="0" w:color="auto"/>
              <w:right w:val="single" w:sz="4" w:space="0" w:color="auto"/>
            </w:tcBorders>
            <w:shd w:val="clear" w:color="auto" w:fill="auto"/>
            <w:vAlign w:val="center"/>
            <w:hideMark/>
          </w:tcPr>
          <w:p w:rsidR="005965BB" w:rsidRPr="00C11497" w:rsidRDefault="005965BB" w:rsidP="005A0B13">
            <w:pPr>
              <w:spacing w:before="60" w:after="60"/>
              <w:rPr>
                <w:rFonts w:cs="Arial"/>
                <w:color w:val="000000"/>
                <w:szCs w:val="22"/>
              </w:rPr>
            </w:pPr>
            <w:r w:rsidRPr="00C11497">
              <w:rPr>
                <w:rFonts w:cs="Arial"/>
                <w:color w:val="000000"/>
                <w:szCs w:val="22"/>
              </w:rPr>
              <w:t>Also described as a Table Drain Offlet. Provides relief at regular intervals of run off concentration in Table Drain. Drains water from Table Drain away from formation for dispersal into catchments. Also extends under footpaths, kerb and gutter, and surface structures.</w:t>
            </w:r>
            <w:r>
              <w:rPr>
                <w:rFonts w:cs="Arial"/>
                <w:color w:val="000000"/>
                <w:szCs w:val="22"/>
              </w:rPr>
              <w:t xml:space="preserve"> </w:t>
            </w:r>
            <w:r w:rsidRPr="00C11497">
              <w:rPr>
                <w:rFonts w:cs="Arial"/>
                <w:color w:val="000000"/>
                <w:szCs w:val="22"/>
              </w:rPr>
              <w:t>Includes the associated drain block to direct flow from the table drain into the offlet drain.</w:t>
            </w:r>
          </w:p>
        </w:tc>
      </w:tr>
      <w:tr w:rsidR="005965BB" w:rsidTr="005A0B13">
        <w:trPr>
          <w:cantSplit/>
          <w:trHeight w:val="1140"/>
          <w:jc w:val="center"/>
        </w:trPr>
        <w:tc>
          <w:tcPr>
            <w:tcW w:w="2701" w:type="dxa"/>
            <w:tcBorders>
              <w:top w:val="nil"/>
              <w:left w:val="single" w:sz="4" w:space="0" w:color="auto"/>
              <w:bottom w:val="single" w:sz="4" w:space="0" w:color="auto"/>
              <w:right w:val="single" w:sz="4" w:space="0" w:color="auto"/>
            </w:tcBorders>
            <w:shd w:val="clear" w:color="auto" w:fill="auto"/>
            <w:vAlign w:val="center"/>
            <w:hideMark/>
          </w:tcPr>
          <w:p w:rsidR="005965BB" w:rsidRPr="00C11497" w:rsidRDefault="005965BB" w:rsidP="005A0B13">
            <w:pPr>
              <w:spacing w:before="60" w:after="60"/>
              <w:rPr>
                <w:rFonts w:cs="Arial"/>
                <w:b/>
                <w:bCs/>
                <w:color w:val="000000"/>
                <w:szCs w:val="22"/>
              </w:rPr>
            </w:pPr>
            <w:r w:rsidRPr="00C11497">
              <w:rPr>
                <w:rFonts w:cs="Arial"/>
                <w:b/>
                <w:bCs/>
                <w:color w:val="000000"/>
                <w:szCs w:val="22"/>
              </w:rPr>
              <w:t>Subgrade</w:t>
            </w:r>
          </w:p>
        </w:tc>
        <w:tc>
          <w:tcPr>
            <w:tcW w:w="6940" w:type="dxa"/>
            <w:tcBorders>
              <w:top w:val="nil"/>
              <w:left w:val="nil"/>
              <w:bottom w:val="single" w:sz="4" w:space="0" w:color="auto"/>
              <w:right w:val="single" w:sz="4" w:space="0" w:color="auto"/>
            </w:tcBorders>
            <w:shd w:val="clear" w:color="auto" w:fill="auto"/>
            <w:vAlign w:val="center"/>
            <w:hideMark/>
          </w:tcPr>
          <w:p w:rsidR="005965BB" w:rsidRDefault="005965BB" w:rsidP="005A0B13">
            <w:pPr>
              <w:spacing w:before="60" w:after="60"/>
              <w:rPr>
                <w:rFonts w:cs="Arial"/>
                <w:color w:val="000000"/>
                <w:szCs w:val="22"/>
              </w:rPr>
            </w:pPr>
            <w:r w:rsidRPr="00C11497">
              <w:rPr>
                <w:rFonts w:cs="Arial"/>
                <w:color w:val="000000"/>
                <w:szCs w:val="22"/>
              </w:rPr>
              <w:t>Top</w:t>
            </w:r>
            <w:r w:rsidRPr="00C11497">
              <w:rPr>
                <w:rFonts w:cs="Arial"/>
                <w:color w:val="723604"/>
                <w:szCs w:val="22"/>
              </w:rPr>
              <w:t xml:space="preserve"> </w:t>
            </w:r>
            <w:r w:rsidRPr="00C11497">
              <w:rPr>
                <w:rFonts w:cs="Arial"/>
                <w:color w:val="000000"/>
                <w:szCs w:val="22"/>
              </w:rPr>
              <w:t>150 mm of material below subgrade surface. Also known as subgrade layer. Subgrade placed against an existing pavement is to be compacted to 98% MMDD.</w:t>
            </w:r>
          </w:p>
          <w:p w:rsidR="005965BB" w:rsidRPr="00C11497" w:rsidRDefault="005965BB" w:rsidP="005A0B13">
            <w:pPr>
              <w:pStyle w:val="guidenotes"/>
              <w:spacing w:before="60" w:after="60"/>
              <w:rPr>
                <w:rFonts w:cs="Arial"/>
                <w:color w:val="000000"/>
                <w:szCs w:val="22"/>
              </w:rPr>
            </w:pPr>
            <w:r w:rsidRPr="004E46D8">
              <w:rPr>
                <w:lang w:val="en-AU"/>
              </w:rPr>
              <w:t>[Amend if different thickness of layer is to be specified]</w:t>
            </w:r>
          </w:p>
        </w:tc>
      </w:tr>
      <w:tr w:rsidR="005965BB" w:rsidTr="005A0B13">
        <w:trPr>
          <w:cantSplit/>
          <w:trHeight w:val="570"/>
          <w:jc w:val="center"/>
        </w:trPr>
        <w:tc>
          <w:tcPr>
            <w:tcW w:w="2701" w:type="dxa"/>
            <w:tcBorders>
              <w:top w:val="nil"/>
              <w:left w:val="single" w:sz="4" w:space="0" w:color="auto"/>
              <w:bottom w:val="single" w:sz="4" w:space="0" w:color="auto"/>
              <w:right w:val="single" w:sz="4" w:space="0" w:color="auto"/>
            </w:tcBorders>
            <w:shd w:val="clear" w:color="auto" w:fill="auto"/>
            <w:vAlign w:val="center"/>
            <w:hideMark/>
          </w:tcPr>
          <w:p w:rsidR="005965BB" w:rsidRPr="00C11497" w:rsidRDefault="005965BB" w:rsidP="005A0B13">
            <w:pPr>
              <w:spacing w:before="60" w:after="60"/>
              <w:rPr>
                <w:rFonts w:cs="Arial"/>
                <w:b/>
                <w:bCs/>
                <w:color w:val="000000"/>
                <w:szCs w:val="22"/>
              </w:rPr>
            </w:pPr>
            <w:r w:rsidRPr="00C11497">
              <w:rPr>
                <w:rFonts w:cs="Arial"/>
                <w:b/>
                <w:bCs/>
                <w:color w:val="000000"/>
                <w:szCs w:val="22"/>
              </w:rPr>
              <w:t>Subgrade Surface</w:t>
            </w:r>
          </w:p>
        </w:tc>
        <w:tc>
          <w:tcPr>
            <w:tcW w:w="6940" w:type="dxa"/>
            <w:tcBorders>
              <w:top w:val="nil"/>
              <w:left w:val="nil"/>
              <w:bottom w:val="single" w:sz="4" w:space="0" w:color="auto"/>
              <w:right w:val="single" w:sz="4" w:space="0" w:color="auto"/>
            </w:tcBorders>
            <w:shd w:val="clear" w:color="auto" w:fill="auto"/>
            <w:vAlign w:val="center"/>
            <w:hideMark/>
          </w:tcPr>
          <w:p w:rsidR="005965BB" w:rsidRPr="00C11497" w:rsidRDefault="005965BB" w:rsidP="005A0B13">
            <w:pPr>
              <w:spacing w:before="60" w:after="60"/>
              <w:rPr>
                <w:rFonts w:cs="Arial"/>
                <w:color w:val="000000"/>
                <w:szCs w:val="22"/>
              </w:rPr>
            </w:pPr>
            <w:r w:rsidRPr="00C11497">
              <w:rPr>
                <w:rFonts w:cs="Arial"/>
                <w:color w:val="000000"/>
                <w:szCs w:val="22"/>
              </w:rPr>
              <w:t>The prepared surface immediately beneath the pavement and shoulder layers.</w:t>
            </w:r>
          </w:p>
        </w:tc>
      </w:tr>
      <w:tr w:rsidR="005965BB" w:rsidTr="005A0B13">
        <w:trPr>
          <w:cantSplit/>
          <w:trHeight w:val="570"/>
          <w:jc w:val="center"/>
        </w:trPr>
        <w:tc>
          <w:tcPr>
            <w:tcW w:w="2701" w:type="dxa"/>
            <w:tcBorders>
              <w:top w:val="nil"/>
              <w:left w:val="single" w:sz="4" w:space="0" w:color="auto"/>
              <w:bottom w:val="single" w:sz="4" w:space="0" w:color="auto"/>
              <w:right w:val="single" w:sz="4" w:space="0" w:color="auto"/>
            </w:tcBorders>
            <w:shd w:val="clear" w:color="auto" w:fill="auto"/>
            <w:vAlign w:val="center"/>
            <w:hideMark/>
          </w:tcPr>
          <w:p w:rsidR="005965BB" w:rsidRPr="00C11497" w:rsidRDefault="005965BB" w:rsidP="005A0B13">
            <w:pPr>
              <w:spacing w:before="60" w:after="60"/>
              <w:rPr>
                <w:rFonts w:cs="Arial"/>
                <w:b/>
                <w:bCs/>
                <w:color w:val="000000"/>
                <w:szCs w:val="22"/>
              </w:rPr>
            </w:pPr>
            <w:r w:rsidRPr="00C11497">
              <w:rPr>
                <w:rFonts w:cs="Arial"/>
                <w:b/>
                <w:bCs/>
                <w:color w:val="000000"/>
                <w:szCs w:val="22"/>
              </w:rPr>
              <w:t>Surface Formation</w:t>
            </w:r>
          </w:p>
        </w:tc>
        <w:tc>
          <w:tcPr>
            <w:tcW w:w="6940" w:type="dxa"/>
            <w:tcBorders>
              <w:top w:val="nil"/>
              <w:left w:val="nil"/>
              <w:bottom w:val="single" w:sz="4" w:space="0" w:color="auto"/>
              <w:right w:val="single" w:sz="4" w:space="0" w:color="auto"/>
            </w:tcBorders>
            <w:shd w:val="clear" w:color="auto" w:fill="auto"/>
            <w:vAlign w:val="center"/>
            <w:hideMark/>
          </w:tcPr>
          <w:p w:rsidR="005965BB" w:rsidRPr="00C11497" w:rsidRDefault="005965BB" w:rsidP="005A0B13">
            <w:pPr>
              <w:spacing w:before="60" w:after="60"/>
              <w:rPr>
                <w:rFonts w:cs="Arial"/>
                <w:color w:val="000000"/>
                <w:szCs w:val="22"/>
              </w:rPr>
            </w:pPr>
            <w:r w:rsidRPr="00C11497">
              <w:rPr>
                <w:rFonts w:cs="Arial"/>
                <w:color w:val="000000"/>
                <w:szCs w:val="22"/>
              </w:rPr>
              <w:t>A road formation constructed from material generally cut from the table drains.</w:t>
            </w:r>
          </w:p>
        </w:tc>
      </w:tr>
      <w:tr w:rsidR="005965BB" w:rsidTr="005A0B13">
        <w:trPr>
          <w:cantSplit/>
          <w:trHeight w:val="855"/>
          <w:jc w:val="center"/>
        </w:trPr>
        <w:tc>
          <w:tcPr>
            <w:tcW w:w="2701" w:type="dxa"/>
            <w:tcBorders>
              <w:top w:val="nil"/>
              <w:left w:val="single" w:sz="4" w:space="0" w:color="auto"/>
              <w:bottom w:val="single" w:sz="4" w:space="0" w:color="auto"/>
              <w:right w:val="single" w:sz="4" w:space="0" w:color="auto"/>
            </w:tcBorders>
            <w:shd w:val="clear" w:color="auto" w:fill="auto"/>
            <w:vAlign w:val="center"/>
            <w:hideMark/>
          </w:tcPr>
          <w:p w:rsidR="005965BB" w:rsidRPr="00C11497" w:rsidRDefault="005965BB" w:rsidP="005A0B13">
            <w:pPr>
              <w:spacing w:before="60" w:after="60"/>
              <w:rPr>
                <w:rFonts w:cs="Arial"/>
                <w:b/>
                <w:bCs/>
                <w:color w:val="000000"/>
                <w:szCs w:val="22"/>
              </w:rPr>
            </w:pPr>
            <w:r w:rsidRPr="00C11497">
              <w:rPr>
                <w:rFonts w:cs="Arial"/>
                <w:b/>
                <w:bCs/>
                <w:color w:val="000000"/>
                <w:szCs w:val="22"/>
              </w:rPr>
              <w:lastRenderedPageBreak/>
              <w:t>Unpaved Areas</w:t>
            </w:r>
          </w:p>
        </w:tc>
        <w:tc>
          <w:tcPr>
            <w:tcW w:w="6940" w:type="dxa"/>
            <w:tcBorders>
              <w:top w:val="nil"/>
              <w:left w:val="nil"/>
              <w:bottom w:val="single" w:sz="4" w:space="0" w:color="auto"/>
              <w:right w:val="single" w:sz="4" w:space="0" w:color="auto"/>
            </w:tcBorders>
            <w:shd w:val="clear" w:color="auto" w:fill="auto"/>
            <w:vAlign w:val="center"/>
            <w:hideMark/>
          </w:tcPr>
          <w:p w:rsidR="005965BB" w:rsidRPr="00C11497" w:rsidRDefault="005965BB" w:rsidP="005A0B13">
            <w:pPr>
              <w:spacing w:before="60" w:after="60"/>
              <w:rPr>
                <w:rFonts w:cs="Arial"/>
                <w:color w:val="000000"/>
                <w:szCs w:val="22"/>
              </w:rPr>
            </w:pPr>
            <w:r w:rsidRPr="00C11497">
              <w:rPr>
                <w:rFonts w:cs="Arial"/>
                <w:color w:val="000000"/>
                <w:szCs w:val="22"/>
              </w:rPr>
              <w:t>Those areas within the road reserve boundary which are not part of the road pavement, including any medians not paved, but excluding footpaths and vehicle access strips.</w:t>
            </w:r>
          </w:p>
        </w:tc>
      </w:tr>
      <w:tr w:rsidR="005965BB" w:rsidTr="005A0B13">
        <w:trPr>
          <w:cantSplit/>
          <w:trHeight w:val="1455"/>
          <w:jc w:val="center"/>
        </w:trPr>
        <w:tc>
          <w:tcPr>
            <w:tcW w:w="2701" w:type="dxa"/>
            <w:tcBorders>
              <w:top w:val="nil"/>
              <w:left w:val="single" w:sz="4" w:space="0" w:color="auto"/>
              <w:bottom w:val="single" w:sz="4" w:space="0" w:color="auto"/>
              <w:right w:val="single" w:sz="4" w:space="0" w:color="auto"/>
            </w:tcBorders>
            <w:shd w:val="clear" w:color="auto" w:fill="auto"/>
            <w:vAlign w:val="center"/>
            <w:hideMark/>
          </w:tcPr>
          <w:p w:rsidR="005965BB" w:rsidRPr="00C11497" w:rsidRDefault="005965BB" w:rsidP="005A0B13">
            <w:pPr>
              <w:spacing w:before="60" w:after="60"/>
              <w:rPr>
                <w:rFonts w:cs="Arial"/>
                <w:b/>
                <w:bCs/>
                <w:color w:val="000000"/>
                <w:szCs w:val="22"/>
              </w:rPr>
            </w:pPr>
            <w:r w:rsidRPr="00C11497">
              <w:rPr>
                <w:rFonts w:cs="Arial"/>
                <w:b/>
                <w:bCs/>
                <w:color w:val="000000"/>
                <w:szCs w:val="22"/>
              </w:rPr>
              <w:t>Unsuitable Material</w:t>
            </w:r>
          </w:p>
        </w:tc>
        <w:tc>
          <w:tcPr>
            <w:tcW w:w="6940" w:type="dxa"/>
            <w:tcBorders>
              <w:top w:val="nil"/>
              <w:left w:val="nil"/>
              <w:bottom w:val="single" w:sz="4" w:space="0" w:color="auto"/>
              <w:right w:val="single" w:sz="4" w:space="0" w:color="auto"/>
            </w:tcBorders>
            <w:shd w:val="clear" w:color="auto" w:fill="auto"/>
            <w:vAlign w:val="bottom"/>
            <w:hideMark/>
          </w:tcPr>
          <w:p w:rsidR="005965BB" w:rsidRPr="00C11497" w:rsidRDefault="005965BB" w:rsidP="005A0B13">
            <w:pPr>
              <w:spacing w:before="60" w:after="60"/>
              <w:rPr>
                <w:rFonts w:cs="Arial"/>
                <w:color w:val="000000"/>
                <w:szCs w:val="22"/>
              </w:rPr>
            </w:pPr>
            <w:r w:rsidRPr="00C11497">
              <w:rPr>
                <w:rFonts w:cs="Arial"/>
                <w:color w:val="000000"/>
                <w:szCs w:val="22"/>
              </w:rPr>
              <w:t xml:space="preserve">Any material that does not conform to the properties specified for the replacement materials to be used. If properties of the replacement materials to be used are not specified, then </w:t>
            </w:r>
            <w:r w:rsidRPr="00C11497">
              <w:rPr>
                <w:rFonts w:cs="Arial"/>
                <w:b/>
                <w:bCs/>
                <w:color w:val="000000"/>
                <w:szCs w:val="22"/>
              </w:rPr>
              <w:t>Unsuitable Materials</w:t>
            </w:r>
            <w:r w:rsidRPr="00C11497">
              <w:rPr>
                <w:rFonts w:cs="Arial"/>
                <w:color w:val="000000"/>
                <w:szCs w:val="22"/>
              </w:rPr>
              <w:t xml:space="preserve"> are materials which do not conform to the properties specified for standard fill.</w:t>
            </w:r>
          </w:p>
        </w:tc>
      </w:tr>
    </w:tbl>
    <w:p w:rsidR="005965BB" w:rsidRPr="00BC1BEB" w:rsidRDefault="005965BB" w:rsidP="005965BB">
      <w:pPr>
        <w:ind w:left="2835" w:hanging="2835"/>
      </w:pPr>
    </w:p>
    <w:p w:rsidR="005965BB" w:rsidRPr="00BC1BEB" w:rsidRDefault="005965BB" w:rsidP="005965BB">
      <w:pPr>
        <w:pStyle w:val="Heading2"/>
        <w:rPr>
          <w:lang w:val="en-AU"/>
        </w:rPr>
      </w:pPr>
      <w:bookmarkStart w:id="15" w:name="_Toc390823447"/>
      <w:bookmarkStart w:id="16" w:name="_Toc391429139"/>
      <w:bookmarkStart w:id="17" w:name="_Toc396034065"/>
      <w:bookmarkStart w:id="18" w:name="_Toc398800248"/>
      <w:r w:rsidRPr="00BC1BEB">
        <w:rPr>
          <w:lang w:val="en-AU"/>
        </w:rPr>
        <w:t>Earthworks In Cut</w:t>
      </w:r>
      <w:bookmarkEnd w:id="15"/>
      <w:bookmarkEnd w:id="16"/>
      <w:bookmarkEnd w:id="17"/>
      <w:bookmarkEnd w:id="18"/>
    </w:p>
    <w:p w:rsidR="005965BB" w:rsidRPr="00BC1BEB" w:rsidRDefault="005965BB" w:rsidP="005965BB">
      <w:pPr>
        <w:pStyle w:val="Heading3"/>
        <w:rPr>
          <w:lang w:val="en-AU"/>
        </w:rPr>
      </w:pPr>
      <w:bookmarkStart w:id="19" w:name="_Toc390823448"/>
      <w:bookmarkStart w:id="20" w:name="_Toc391429140"/>
      <w:bookmarkStart w:id="21" w:name="_Toc396034066"/>
      <w:bookmarkStart w:id="22" w:name="_Toc398800249"/>
      <w:r w:rsidRPr="00BC1BEB">
        <w:rPr>
          <w:lang w:val="en-AU"/>
        </w:rPr>
        <w:t>Description</w:t>
      </w:r>
      <w:bookmarkEnd w:id="19"/>
      <w:bookmarkEnd w:id="20"/>
      <w:bookmarkEnd w:id="21"/>
      <w:bookmarkEnd w:id="22"/>
    </w:p>
    <w:p w:rsidR="005965BB" w:rsidRPr="00BC1BEB" w:rsidRDefault="005965BB" w:rsidP="005965BB">
      <w:r w:rsidRPr="00BC1BEB">
        <w:t>Operations necessary for excavation, irrespective of the type of material and subsurface conditions, including:</w:t>
      </w:r>
    </w:p>
    <w:p w:rsidR="005965BB" w:rsidRPr="00BC1BEB" w:rsidRDefault="005965BB" w:rsidP="005965BB">
      <w:pPr>
        <w:pStyle w:val="Bullet"/>
        <w:tabs>
          <w:tab w:val="clear" w:pos="360"/>
          <w:tab w:val="num" w:pos="1276"/>
        </w:tabs>
        <w:ind w:left="1276" w:hanging="284"/>
      </w:pPr>
      <w:r w:rsidRPr="00BC1BEB">
        <w:t>working cuttings so that material meeting standard fill requirements is used for the subgrade;</w:t>
      </w:r>
    </w:p>
    <w:p w:rsidR="005965BB" w:rsidRDefault="005965BB" w:rsidP="005965BB">
      <w:pPr>
        <w:pStyle w:val="Bullet"/>
        <w:tabs>
          <w:tab w:val="clear" w:pos="360"/>
          <w:tab w:val="num" w:pos="1276"/>
        </w:tabs>
        <w:ind w:left="1276" w:hanging="284"/>
      </w:pPr>
      <w:r w:rsidRPr="00BC1BEB">
        <w:t>disposal of excess excavated material;</w:t>
      </w:r>
    </w:p>
    <w:p w:rsidR="005965BB" w:rsidRPr="00BC1BEB" w:rsidRDefault="005965BB" w:rsidP="005965BB">
      <w:pPr>
        <w:pStyle w:val="Bullet"/>
        <w:tabs>
          <w:tab w:val="clear" w:pos="360"/>
          <w:tab w:val="num" w:pos="1276"/>
        </w:tabs>
        <w:ind w:left="1276" w:hanging="284"/>
      </w:pPr>
      <w:r>
        <w:t xml:space="preserve">trim and compact exposed surfaces – refer to the </w:t>
      </w:r>
      <w:r w:rsidRPr="00016074">
        <w:rPr>
          <w:b/>
        </w:rPr>
        <w:t>Trim and Compact Unpaved Areas</w:t>
      </w:r>
      <w:r>
        <w:t xml:space="preserve"> clause in this work section;</w:t>
      </w:r>
    </w:p>
    <w:p w:rsidR="005965BB" w:rsidRPr="00BC1BEB" w:rsidRDefault="005965BB" w:rsidP="005965BB">
      <w:pPr>
        <w:pStyle w:val="Bullet"/>
        <w:tabs>
          <w:tab w:val="clear" w:pos="360"/>
          <w:tab w:val="num" w:pos="1276"/>
        </w:tabs>
        <w:ind w:left="1276" w:hanging="284"/>
      </w:pPr>
      <w:r w:rsidRPr="00BC1BEB">
        <w:t>compaction of material below the subgrade surface; and</w:t>
      </w:r>
    </w:p>
    <w:p w:rsidR="005965BB" w:rsidRPr="00BC1BEB" w:rsidRDefault="005965BB" w:rsidP="005965BB">
      <w:pPr>
        <w:pStyle w:val="Bullet"/>
        <w:tabs>
          <w:tab w:val="clear" w:pos="360"/>
          <w:tab w:val="num" w:pos="1276"/>
        </w:tabs>
        <w:ind w:left="1276" w:hanging="284"/>
      </w:pPr>
      <w:proofErr w:type="gramStart"/>
      <w:r w:rsidRPr="00BC1BEB">
        <w:t>shaping</w:t>
      </w:r>
      <w:proofErr w:type="gramEnd"/>
      <w:r w:rsidRPr="00BC1BEB">
        <w:t xml:space="preserve"> and trimming of formation within cuttings.</w:t>
      </w:r>
    </w:p>
    <w:p w:rsidR="005965BB" w:rsidRPr="00BC1BEB" w:rsidRDefault="005965BB" w:rsidP="005965BB">
      <w:pPr>
        <w:pStyle w:val="Heading3"/>
        <w:rPr>
          <w:lang w:val="en-AU"/>
        </w:rPr>
      </w:pPr>
      <w:bookmarkStart w:id="23" w:name="_Toc390823449"/>
      <w:bookmarkStart w:id="24" w:name="_Toc391429141"/>
      <w:bookmarkStart w:id="25" w:name="_Toc396034067"/>
      <w:bookmarkStart w:id="26" w:name="_Toc398800250"/>
      <w:r w:rsidRPr="00BC1BEB">
        <w:rPr>
          <w:lang w:val="en-AU"/>
        </w:rPr>
        <w:t>Excess Material</w:t>
      </w:r>
      <w:bookmarkEnd w:id="23"/>
      <w:bookmarkEnd w:id="24"/>
      <w:bookmarkEnd w:id="25"/>
      <w:bookmarkEnd w:id="26"/>
      <w:r>
        <w:rPr>
          <w:lang w:val="en-AU"/>
        </w:rPr>
        <w:t xml:space="preserve"> – Hold Point</w:t>
      </w:r>
    </w:p>
    <w:p w:rsidR="005965BB" w:rsidRPr="00BC1BEB" w:rsidRDefault="005965BB" w:rsidP="005965BB">
      <w:r w:rsidRPr="00BC1BEB">
        <w:t>Haul and dump and</w:t>
      </w:r>
      <w:r>
        <w:t>/or</w:t>
      </w:r>
      <w:r w:rsidRPr="00BC1BEB">
        <w:t xml:space="preserve"> spread excess material</w:t>
      </w:r>
      <w:r>
        <w:t xml:space="preserve"> at the following site(s)</w:t>
      </w:r>
      <w:r w:rsidRPr="00BC1BEB">
        <w:t>:</w:t>
      </w:r>
      <w:r>
        <w:tab/>
      </w:r>
      <w:r w:rsidRPr="00CF1827">
        <w:rPr>
          <w:color w:val="723604"/>
        </w:rPr>
        <w:t>[enter data]</w:t>
      </w:r>
    </w:p>
    <w:p w:rsidR="005965BB" w:rsidRPr="00CF1827" w:rsidRDefault="005965BB" w:rsidP="005965BB">
      <w:pPr>
        <w:pStyle w:val="guidenotes"/>
        <w:rPr>
          <w:lang w:val="en-AU"/>
        </w:rPr>
      </w:pPr>
      <w:r w:rsidRPr="00BC1BEB">
        <w:rPr>
          <w:lang w:val="en-AU"/>
        </w:rPr>
        <w:t>[If</w:t>
      </w:r>
      <w:r>
        <w:rPr>
          <w:lang w:val="en-AU"/>
        </w:rPr>
        <w:t xml:space="preserve"> some excess material is to be spread and some to be stockpiled specify sites, indicating if they are for stockpiles or for spreading of excess material]</w:t>
      </w:r>
    </w:p>
    <w:p w:rsidR="005965BB" w:rsidRDefault="005965BB" w:rsidP="005965BB">
      <w:r>
        <w:t>The material is to be;</w:t>
      </w:r>
      <w:r>
        <w:tab/>
      </w:r>
      <w:r>
        <w:tab/>
      </w:r>
      <w:r w:rsidR="007877AA">
        <w:t xml:space="preserve"> – Spread </w:t>
      </w:r>
      <w:r>
        <w:t>and sheeted with topsoil</w:t>
      </w:r>
    </w:p>
    <w:p w:rsidR="005965BB" w:rsidRDefault="007877AA" w:rsidP="005965BB">
      <w:pPr>
        <w:ind w:left="2160" w:firstLine="720"/>
      </w:pPr>
      <w:r>
        <w:t xml:space="preserve"> – Stockpiled</w:t>
      </w:r>
    </w:p>
    <w:p w:rsidR="005965BB" w:rsidRPr="00CF1827" w:rsidRDefault="005965BB" w:rsidP="005965BB">
      <w:pPr>
        <w:pStyle w:val="guidenotes"/>
        <w:rPr>
          <w:lang w:val="en-AU"/>
        </w:rPr>
      </w:pPr>
      <w:r w:rsidRPr="00BC1BEB">
        <w:rPr>
          <w:lang w:val="en-AU"/>
        </w:rPr>
        <w:t>[</w:t>
      </w:r>
      <w:r>
        <w:rPr>
          <w:lang w:val="en-AU"/>
        </w:rPr>
        <w:t>Delete option not required.]</w:t>
      </w:r>
    </w:p>
    <w:p w:rsidR="005965BB" w:rsidRPr="00BC1BEB" w:rsidRDefault="005965BB" w:rsidP="005965BB">
      <w:r w:rsidRPr="00BC1BEB">
        <w:t>Haul and dump and spread excess material:</w:t>
      </w:r>
    </w:p>
    <w:p w:rsidR="005965BB" w:rsidRPr="00BC1BEB" w:rsidRDefault="005965BB" w:rsidP="005965BB">
      <w:pPr>
        <w:pStyle w:val="Bullet"/>
        <w:tabs>
          <w:tab w:val="clear" w:pos="360"/>
          <w:tab w:val="num" w:pos="1276"/>
        </w:tabs>
        <w:ind w:left="1276" w:hanging="284"/>
      </w:pPr>
      <w:r w:rsidRPr="00BC1BEB">
        <w:t>Not less than 125 metres from the new road centre line.</w:t>
      </w:r>
    </w:p>
    <w:p w:rsidR="005965BB" w:rsidRPr="00BC1BEB" w:rsidRDefault="005965BB" w:rsidP="005965BB">
      <w:pPr>
        <w:pStyle w:val="Bullet"/>
        <w:tabs>
          <w:tab w:val="clear" w:pos="360"/>
          <w:tab w:val="num" w:pos="1276"/>
        </w:tabs>
        <w:ind w:left="1276" w:hanging="284"/>
      </w:pPr>
      <w:r w:rsidRPr="00BC1BEB">
        <w:t>To spoil dump sites specified</w:t>
      </w:r>
      <w:r>
        <w:t xml:space="preserve">. </w:t>
      </w:r>
      <w:r w:rsidRPr="00BC1BEB">
        <w:t>Clear site of organic material/topsoil prior to stockpiling material.</w:t>
      </w:r>
    </w:p>
    <w:p w:rsidR="005965BB" w:rsidRPr="00BC1BEB" w:rsidRDefault="005965BB" w:rsidP="005965BB">
      <w:pPr>
        <w:pStyle w:val="guidenotes"/>
        <w:rPr>
          <w:lang w:val="en-AU"/>
        </w:rPr>
      </w:pPr>
      <w:r w:rsidRPr="00BC1BEB">
        <w:rPr>
          <w:lang w:val="en-AU"/>
        </w:rPr>
        <w:t>[If option two is used, ensure that site is specified</w:t>
      </w:r>
      <w:r>
        <w:rPr>
          <w:lang w:val="en-AU"/>
        </w:rPr>
        <w:t xml:space="preserve">. </w:t>
      </w:r>
      <w:r w:rsidRPr="00BC1BEB">
        <w:rPr>
          <w:lang w:val="en-AU"/>
        </w:rPr>
        <w:t>Delete option not required]</w:t>
      </w:r>
    </w:p>
    <w:p w:rsidR="005965BB" w:rsidRPr="00BC1BEB" w:rsidRDefault="005965BB" w:rsidP="005965BB">
      <w:pPr>
        <w:pStyle w:val="Bullet"/>
        <w:tabs>
          <w:tab w:val="clear" w:pos="360"/>
          <w:tab w:val="num" w:pos="1276"/>
        </w:tabs>
        <w:ind w:left="1276" w:hanging="284"/>
      </w:pPr>
      <w:r w:rsidRPr="00BC1BEB">
        <w:t>Spread excess material and sheet with topsoil as specified.</w:t>
      </w:r>
    </w:p>
    <w:p w:rsidR="005965BB" w:rsidRPr="00BC1BEB" w:rsidRDefault="005965BB" w:rsidP="005965BB">
      <w:pPr>
        <w:pStyle w:val="guidenotes"/>
        <w:rPr>
          <w:lang w:val="en-AU"/>
        </w:rPr>
      </w:pPr>
      <w:r w:rsidRPr="00BC1BEB">
        <w:rPr>
          <w:lang w:val="en-AU"/>
        </w:rPr>
        <w:t>[Delete if material is to be stockpiled]</w:t>
      </w:r>
    </w:p>
    <w:p w:rsidR="005965BB" w:rsidRPr="00BC1BEB" w:rsidRDefault="005965BB" w:rsidP="005965BB">
      <w:r w:rsidRPr="00BC1BEB">
        <w:t>Dumped material remains the property of the Principal.</w:t>
      </w:r>
    </w:p>
    <w:p w:rsidR="005965BB" w:rsidRPr="00BC1BEB" w:rsidRDefault="005965BB" w:rsidP="005965BB">
      <w:r w:rsidRPr="00BC1BEB">
        <w:t>Ensure dumps shall not dam surface water and streams or damage the works or other property.</w:t>
      </w:r>
    </w:p>
    <w:p w:rsidR="005965BB" w:rsidRDefault="005965BB" w:rsidP="005965BB">
      <w:r w:rsidRPr="00BC1BEB">
        <w:t>Ensure dumping is not in streams.</w:t>
      </w:r>
    </w:p>
    <w:p w:rsidR="005965BB" w:rsidRDefault="005965BB" w:rsidP="005965BB">
      <w:r>
        <w:lastRenderedPageBreak/>
        <w:t>Haul, dump and spread the materials in legally acceptable locations using legal methods.</w:t>
      </w:r>
    </w:p>
    <w:p w:rsidR="005965BB" w:rsidRDefault="005965BB" w:rsidP="005965BB">
      <w:r>
        <w:t>Comply with AAPA clearances.</w:t>
      </w:r>
    </w:p>
    <w:p w:rsidR="005965BB" w:rsidRDefault="005965BB" w:rsidP="005965BB">
      <w:r>
        <w:t>Comply with Environmental Management approvals, including within the road reserve.</w:t>
      </w:r>
    </w:p>
    <w:p w:rsidR="005965BB" w:rsidRPr="00301C59" w:rsidRDefault="005965BB" w:rsidP="005965BB">
      <w:r>
        <w:rPr>
          <w:b/>
        </w:rPr>
        <w:t>Hold Point -</w:t>
      </w:r>
      <w:r>
        <w:t xml:space="preserve"> Obtain approval from Superintendent prior to hauling, dumping and spreading excess material.</w:t>
      </w:r>
    </w:p>
    <w:p w:rsidR="005965BB" w:rsidRPr="00BC1BEB" w:rsidRDefault="005965BB" w:rsidP="005965BB">
      <w:pPr>
        <w:pStyle w:val="Heading3"/>
        <w:rPr>
          <w:lang w:val="en-AU"/>
        </w:rPr>
      </w:pPr>
      <w:bookmarkStart w:id="27" w:name="_Toc390823450"/>
      <w:bookmarkStart w:id="28" w:name="_Toc391429142"/>
      <w:bookmarkStart w:id="29" w:name="_Toc396034068"/>
      <w:bookmarkStart w:id="30" w:name="_Toc398800251"/>
      <w:r w:rsidRPr="00BC1BEB">
        <w:rPr>
          <w:lang w:val="en-AU"/>
        </w:rPr>
        <w:t xml:space="preserve">Rock in Subgrade </w:t>
      </w:r>
      <w:r>
        <w:rPr>
          <w:lang w:val="en-AU"/>
        </w:rPr>
        <w:t>–</w:t>
      </w:r>
      <w:r w:rsidRPr="00BC1BEB">
        <w:rPr>
          <w:lang w:val="en-AU"/>
        </w:rPr>
        <w:t xml:space="preserve"> </w:t>
      </w:r>
      <w:bookmarkEnd w:id="27"/>
      <w:bookmarkEnd w:id="28"/>
      <w:bookmarkEnd w:id="29"/>
      <w:bookmarkEnd w:id="30"/>
      <w:r>
        <w:rPr>
          <w:lang w:val="en-AU"/>
        </w:rPr>
        <w:t>Hold Point</w:t>
      </w:r>
    </w:p>
    <w:p w:rsidR="005965BB" w:rsidRPr="00BC1BEB" w:rsidRDefault="005965BB" w:rsidP="005965BB">
      <w:r w:rsidRPr="001E6344">
        <w:rPr>
          <w:b/>
        </w:rPr>
        <w:t>Hold point</w:t>
      </w:r>
      <w:r w:rsidRPr="00BC1BEB">
        <w:t xml:space="preserve"> - Obtain agreement from the Superintendent to the extent of the excavation.</w:t>
      </w:r>
    </w:p>
    <w:p w:rsidR="005965BB" w:rsidRPr="00BC1BEB" w:rsidRDefault="005965BB" w:rsidP="005965BB">
      <w:r w:rsidRPr="00BC1BEB">
        <w:t>Excavate rock encountered in the subgrade.</w:t>
      </w:r>
    </w:p>
    <w:p w:rsidR="005965BB" w:rsidRPr="00BC1BEB" w:rsidRDefault="005965BB" w:rsidP="005965BB">
      <w:r w:rsidRPr="00BC1BEB">
        <w:t>Avoid forming pockets of shattered material below the level of the excavation.</w:t>
      </w:r>
    </w:p>
    <w:p w:rsidR="005965BB" w:rsidRPr="00BC1BEB" w:rsidRDefault="005965BB" w:rsidP="005965BB">
      <w:r w:rsidRPr="00BC1BEB">
        <w:t>Remove all loose material.</w:t>
      </w:r>
    </w:p>
    <w:p w:rsidR="005965BB" w:rsidRPr="00BC1BEB" w:rsidRDefault="005965BB" w:rsidP="005965BB">
      <w:r w:rsidRPr="00BC1BEB">
        <w:t>Trim the excavation to shed water.</w:t>
      </w:r>
    </w:p>
    <w:p w:rsidR="005965BB" w:rsidRPr="00BC1BEB" w:rsidRDefault="005965BB" w:rsidP="005965BB">
      <w:r w:rsidRPr="00BC1BEB">
        <w:t>Replace excavated material with sele</w:t>
      </w:r>
      <w:r>
        <w:t>ct fill compacted to 95%</w:t>
      </w:r>
      <w:r w:rsidRPr="00BC1BEB">
        <w:t xml:space="preserve"> relative compaction.</w:t>
      </w:r>
    </w:p>
    <w:p w:rsidR="005965BB" w:rsidRPr="00BC1BEB" w:rsidRDefault="005965BB" w:rsidP="005965BB">
      <w:pPr>
        <w:pStyle w:val="Heading3"/>
        <w:rPr>
          <w:lang w:val="en-AU"/>
        </w:rPr>
      </w:pPr>
      <w:bookmarkStart w:id="31" w:name="_Toc390823451"/>
      <w:bookmarkStart w:id="32" w:name="_Toc391429143"/>
      <w:bookmarkStart w:id="33" w:name="_Toc396034069"/>
      <w:bookmarkStart w:id="34" w:name="_Toc398800252"/>
      <w:r w:rsidRPr="00BC1BEB">
        <w:rPr>
          <w:lang w:val="en-AU"/>
        </w:rPr>
        <w:t xml:space="preserve">Unsuitable Material </w:t>
      </w:r>
      <w:proofErr w:type="gramStart"/>
      <w:r w:rsidRPr="00BC1BEB">
        <w:rPr>
          <w:lang w:val="en-AU"/>
        </w:rPr>
        <w:t>Below</w:t>
      </w:r>
      <w:proofErr w:type="gramEnd"/>
      <w:r w:rsidRPr="00BC1BEB">
        <w:rPr>
          <w:lang w:val="en-AU"/>
        </w:rPr>
        <w:t xml:space="preserve"> Subgrade Surface other than Rock </w:t>
      </w:r>
      <w:r>
        <w:rPr>
          <w:lang w:val="en-AU"/>
        </w:rPr>
        <w:t>–</w:t>
      </w:r>
      <w:r w:rsidRPr="00BC1BEB">
        <w:rPr>
          <w:lang w:val="en-AU"/>
        </w:rPr>
        <w:t xml:space="preserve"> </w:t>
      </w:r>
      <w:bookmarkEnd w:id="31"/>
      <w:bookmarkEnd w:id="32"/>
      <w:bookmarkEnd w:id="33"/>
      <w:bookmarkEnd w:id="34"/>
      <w:r>
        <w:rPr>
          <w:lang w:val="en-AU"/>
        </w:rPr>
        <w:t>Hold Point</w:t>
      </w:r>
    </w:p>
    <w:p w:rsidR="005965BB" w:rsidRPr="00BC1BEB" w:rsidRDefault="005965BB" w:rsidP="005965BB">
      <w:r w:rsidRPr="001E6344">
        <w:rPr>
          <w:b/>
        </w:rPr>
        <w:t>Hold point</w:t>
      </w:r>
      <w:r w:rsidRPr="00BC1BEB">
        <w:t xml:space="preserve"> - Obtain directions from the Superintendent before works commence.</w:t>
      </w:r>
    </w:p>
    <w:p w:rsidR="005965BB" w:rsidRPr="005870D9" w:rsidRDefault="005965BB" w:rsidP="005965BB">
      <w:r w:rsidRPr="005870D9">
        <w:t xml:space="preserve">Where the material does not conform, it must be treated to produce conforming subgrade or excavated, removed and replaced with material conforming to subgrade to the approval of the Superintendent. </w:t>
      </w:r>
    </w:p>
    <w:p w:rsidR="005965BB" w:rsidRPr="005870D9" w:rsidRDefault="005965BB" w:rsidP="005965BB">
      <w:r w:rsidRPr="005870D9">
        <w:t>These treatments can include but not be limited to blending with other material, stabilisation/modification and replacement with suitable material.</w:t>
      </w:r>
    </w:p>
    <w:p w:rsidR="005965BB" w:rsidRDefault="005965BB" w:rsidP="005965BB">
      <w:r w:rsidRPr="005870D9">
        <w:t>Where necessary, dry out material with excessive moisture content to achieve a moisture content which permits specified compaction.</w:t>
      </w:r>
    </w:p>
    <w:p w:rsidR="005965BB" w:rsidRPr="00BC1BEB" w:rsidRDefault="005965BB" w:rsidP="005965BB">
      <w:r w:rsidRPr="00BC1BEB">
        <w:t>Dry out material with excessive moisture content to achieve a moisture content which permits specified compaction.</w:t>
      </w:r>
    </w:p>
    <w:p w:rsidR="005965BB" w:rsidRPr="00BC1BEB" w:rsidRDefault="005965BB" w:rsidP="005965BB">
      <w:r w:rsidRPr="00BC1BEB">
        <w:t>Replace excavated material wi</w:t>
      </w:r>
      <w:r>
        <w:t>th standard fill compacted to 95</w:t>
      </w:r>
      <w:r w:rsidRPr="00BC1BEB">
        <w:t>% relative compaction.</w:t>
      </w:r>
    </w:p>
    <w:p w:rsidR="005965BB" w:rsidRPr="00BC1BEB" w:rsidRDefault="005965BB" w:rsidP="005965BB">
      <w:r w:rsidRPr="00BC1BEB">
        <w:t xml:space="preserve">Floodways: Replace unsuitable material with material conforming </w:t>
      </w:r>
      <w:proofErr w:type="gramStart"/>
      <w:r w:rsidRPr="00BC1BEB">
        <w:t>with</w:t>
      </w:r>
      <w:proofErr w:type="gramEnd"/>
      <w:r w:rsidRPr="00BC1BEB">
        <w:t xml:space="preserve"> the following:</w:t>
      </w:r>
    </w:p>
    <w:p w:rsidR="005965BB" w:rsidRDefault="005965BB" w:rsidP="005965BB">
      <w:r w:rsidRPr="00BC1BEB">
        <w:t>Angular or broken rock, free from organic matter and lumps of cla</w:t>
      </w:r>
      <w:r>
        <w:t xml:space="preserve">y, complying with the </w:t>
      </w:r>
      <w:r w:rsidRPr="001927C6">
        <w:rPr>
          <w:b/>
          <w:i/>
        </w:rPr>
        <w:t>Table – Grading - Suitable Fill Material Properties for Floodways</w:t>
      </w:r>
      <w:r>
        <w:rPr>
          <w:b/>
        </w:rPr>
        <w:t>.</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961"/>
        <w:gridCol w:w="3961"/>
      </w:tblGrid>
      <w:tr w:rsidR="005965BB" w:rsidTr="007C5460">
        <w:trPr>
          <w:cantSplit/>
          <w:trHeight w:val="230"/>
        </w:trPr>
        <w:tc>
          <w:tcPr>
            <w:tcW w:w="7922" w:type="dxa"/>
            <w:gridSpan w:val="2"/>
            <w:tcBorders>
              <w:bottom w:val="single" w:sz="2" w:space="0" w:color="auto"/>
            </w:tcBorders>
          </w:tcPr>
          <w:p w:rsidR="005965BB" w:rsidRPr="00DD5378" w:rsidRDefault="005965BB" w:rsidP="007C5460">
            <w:pPr>
              <w:spacing w:before="40" w:after="40"/>
              <w:rPr>
                <w:b/>
              </w:rPr>
            </w:pPr>
            <w:r w:rsidRPr="00DD5378">
              <w:rPr>
                <w:b/>
              </w:rPr>
              <w:t>Table – Grading - Suitable Fill Material Properties</w:t>
            </w:r>
            <w:r>
              <w:rPr>
                <w:b/>
              </w:rPr>
              <w:t xml:space="preserve"> for Floodways</w:t>
            </w:r>
          </w:p>
        </w:tc>
      </w:tr>
      <w:tr w:rsidR="005965BB" w:rsidTr="007C5460">
        <w:trPr>
          <w:cantSplit/>
          <w:trHeight w:val="230"/>
        </w:trPr>
        <w:tc>
          <w:tcPr>
            <w:tcW w:w="3961" w:type="dxa"/>
          </w:tcPr>
          <w:p w:rsidR="005965BB" w:rsidRPr="006D755E" w:rsidRDefault="005965BB" w:rsidP="007C5460">
            <w:pPr>
              <w:spacing w:before="40" w:after="40"/>
            </w:pPr>
            <w:r w:rsidRPr="00BC1BEB">
              <w:t>Maximum size:</w:t>
            </w:r>
          </w:p>
        </w:tc>
        <w:tc>
          <w:tcPr>
            <w:tcW w:w="3961" w:type="dxa"/>
          </w:tcPr>
          <w:p w:rsidR="005965BB" w:rsidRPr="006D755E" w:rsidRDefault="005965BB" w:rsidP="007C5460">
            <w:pPr>
              <w:spacing w:before="40" w:after="40"/>
            </w:pPr>
            <w:r w:rsidRPr="00BC1BEB">
              <w:t>100 mm.</w:t>
            </w:r>
          </w:p>
        </w:tc>
      </w:tr>
      <w:tr w:rsidR="005965BB" w:rsidTr="007C5460">
        <w:trPr>
          <w:cantSplit/>
          <w:trHeight w:val="230"/>
        </w:trPr>
        <w:tc>
          <w:tcPr>
            <w:tcW w:w="3961" w:type="dxa"/>
          </w:tcPr>
          <w:p w:rsidR="005965BB" w:rsidRPr="006D755E" w:rsidRDefault="005965BB" w:rsidP="007C5460">
            <w:pPr>
              <w:spacing w:before="40" w:after="40"/>
            </w:pPr>
            <w:r w:rsidRPr="00BC1BEB">
              <w:t>Plasticity Index:</w:t>
            </w:r>
          </w:p>
        </w:tc>
        <w:tc>
          <w:tcPr>
            <w:tcW w:w="3961" w:type="dxa"/>
          </w:tcPr>
          <w:p w:rsidR="005965BB" w:rsidRPr="006D755E" w:rsidRDefault="005965BB" w:rsidP="007C5460">
            <w:pPr>
              <w:spacing w:before="40" w:after="40"/>
            </w:pPr>
            <w:r w:rsidRPr="00BC1BEB">
              <w:t>10 maximum.</w:t>
            </w:r>
          </w:p>
        </w:tc>
      </w:tr>
      <w:tr w:rsidR="005965BB" w:rsidTr="007C5460">
        <w:trPr>
          <w:cantSplit/>
          <w:trHeight w:val="230"/>
        </w:trPr>
        <w:tc>
          <w:tcPr>
            <w:tcW w:w="3961" w:type="dxa"/>
          </w:tcPr>
          <w:p w:rsidR="005965BB" w:rsidRPr="006D755E" w:rsidRDefault="005965BB" w:rsidP="007C5460">
            <w:pPr>
              <w:spacing w:before="40" w:after="40"/>
            </w:pPr>
            <w:r w:rsidRPr="00BC1BEB">
              <w:t>Linear Shrinkage</w:t>
            </w:r>
          </w:p>
        </w:tc>
        <w:tc>
          <w:tcPr>
            <w:tcW w:w="3961" w:type="dxa"/>
          </w:tcPr>
          <w:p w:rsidR="005965BB" w:rsidRPr="006D755E" w:rsidRDefault="005965BB" w:rsidP="007C5460">
            <w:pPr>
              <w:spacing w:before="40" w:after="40"/>
            </w:pPr>
            <w:r w:rsidRPr="00BC1BEB">
              <w:t xml:space="preserve">5.0 </w:t>
            </w:r>
            <w:proofErr w:type="gramStart"/>
            <w:r w:rsidRPr="00BC1BEB">
              <w:t>maximum</w:t>
            </w:r>
            <w:proofErr w:type="gramEnd"/>
            <w:r w:rsidRPr="00BC1BEB">
              <w:t>.</w:t>
            </w:r>
          </w:p>
        </w:tc>
      </w:tr>
      <w:tr w:rsidR="005965BB" w:rsidTr="007C5460">
        <w:trPr>
          <w:cantSplit/>
          <w:trHeight w:val="152"/>
        </w:trPr>
        <w:tc>
          <w:tcPr>
            <w:tcW w:w="7922" w:type="dxa"/>
            <w:gridSpan w:val="2"/>
            <w:tcBorders>
              <w:bottom w:val="single" w:sz="2" w:space="0" w:color="auto"/>
            </w:tcBorders>
          </w:tcPr>
          <w:p w:rsidR="005965BB" w:rsidRPr="006D755E" w:rsidRDefault="005965BB" w:rsidP="007C5460">
            <w:pPr>
              <w:spacing w:before="40" w:after="40"/>
              <w:rPr>
                <w:sz w:val="16"/>
                <w:szCs w:val="16"/>
              </w:rPr>
            </w:pPr>
          </w:p>
        </w:tc>
      </w:tr>
      <w:tr w:rsidR="005965BB" w:rsidTr="007C5460">
        <w:trPr>
          <w:cantSplit/>
          <w:trHeight w:val="230"/>
        </w:trPr>
        <w:tc>
          <w:tcPr>
            <w:tcW w:w="3961" w:type="dxa"/>
          </w:tcPr>
          <w:p w:rsidR="005965BB" w:rsidRPr="00DD5378" w:rsidRDefault="005965BB" w:rsidP="007C5460">
            <w:pPr>
              <w:spacing w:before="40" w:after="40"/>
              <w:rPr>
                <w:b/>
              </w:rPr>
            </w:pPr>
            <w:r w:rsidRPr="00DD5378">
              <w:rPr>
                <w:b/>
              </w:rPr>
              <w:t>AS Sieve (Mm)</w:t>
            </w:r>
          </w:p>
        </w:tc>
        <w:tc>
          <w:tcPr>
            <w:tcW w:w="3961" w:type="dxa"/>
          </w:tcPr>
          <w:p w:rsidR="005965BB" w:rsidRPr="00DD5378" w:rsidRDefault="005965BB" w:rsidP="007C5460">
            <w:pPr>
              <w:spacing w:before="40" w:after="40"/>
              <w:rPr>
                <w:b/>
              </w:rPr>
            </w:pPr>
            <w:r w:rsidRPr="00DD5378">
              <w:rPr>
                <w:b/>
              </w:rPr>
              <w:t>Percentage Passing</w:t>
            </w:r>
          </w:p>
        </w:tc>
      </w:tr>
      <w:tr w:rsidR="005965BB" w:rsidTr="007C5460">
        <w:trPr>
          <w:cantSplit/>
          <w:trHeight w:val="245"/>
        </w:trPr>
        <w:tc>
          <w:tcPr>
            <w:tcW w:w="3961" w:type="dxa"/>
          </w:tcPr>
          <w:p w:rsidR="005965BB" w:rsidRPr="00BC1BEB" w:rsidRDefault="005965BB" w:rsidP="007C5460">
            <w:pPr>
              <w:spacing w:before="40" w:after="40"/>
            </w:pPr>
            <w:r w:rsidRPr="00BC1BEB">
              <w:t>75.0</w:t>
            </w:r>
          </w:p>
        </w:tc>
        <w:tc>
          <w:tcPr>
            <w:tcW w:w="3961" w:type="dxa"/>
          </w:tcPr>
          <w:p w:rsidR="005965BB" w:rsidRPr="00BC1BEB" w:rsidRDefault="005965BB" w:rsidP="007C5460">
            <w:pPr>
              <w:spacing w:before="40" w:after="40"/>
            </w:pPr>
            <w:r w:rsidRPr="00BC1BEB">
              <w:t>40 </w:t>
            </w:r>
            <w:r w:rsidRPr="00BC1BEB">
              <w:noBreakHyphen/>
              <w:t> 100</w:t>
            </w:r>
          </w:p>
        </w:tc>
      </w:tr>
      <w:tr w:rsidR="005965BB" w:rsidTr="007C5460">
        <w:trPr>
          <w:cantSplit/>
          <w:trHeight w:val="230"/>
        </w:trPr>
        <w:tc>
          <w:tcPr>
            <w:tcW w:w="3961" w:type="dxa"/>
          </w:tcPr>
          <w:p w:rsidR="005965BB" w:rsidRPr="00BC1BEB" w:rsidRDefault="005965BB" w:rsidP="007C5460">
            <w:pPr>
              <w:spacing w:before="40" w:after="40"/>
            </w:pPr>
            <w:r w:rsidRPr="00BC1BEB">
              <w:t>19.0</w:t>
            </w:r>
          </w:p>
        </w:tc>
        <w:tc>
          <w:tcPr>
            <w:tcW w:w="3961" w:type="dxa"/>
          </w:tcPr>
          <w:p w:rsidR="005965BB" w:rsidRPr="00BC1BEB" w:rsidRDefault="005965BB" w:rsidP="007C5460">
            <w:pPr>
              <w:spacing w:before="40" w:after="40"/>
            </w:pPr>
            <w:r w:rsidRPr="00BC1BEB">
              <w:t>15 </w:t>
            </w:r>
            <w:r w:rsidRPr="00BC1BEB">
              <w:noBreakHyphen/>
              <w:t> 50</w:t>
            </w:r>
          </w:p>
        </w:tc>
      </w:tr>
      <w:tr w:rsidR="005965BB" w:rsidTr="007C5460">
        <w:trPr>
          <w:cantSplit/>
          <w:trHeight w:val="230"/>
        </w:trPr>
        <w:tc>
          <w:tcPr>
            <w:tcW w:w="3961" w:type="dxa"/>
          </w:tcPr>
          <w:p w:rsidR="005965BB" w:rsidRPr="00BC1BEB" w:rsidRDefault="005965BB" w:rsidP="007C5460">
            <w:pPr>
              <w:spacing w:before="40" w:after="40"/>
            </w:pPr>
            <w:r w:rsidRPr="00BC1BEB">
              <w:t>2.36</w:t>
            </w:r>
          </w:p>
        </w:tc>
        <w:tc>
          <w:tcPr>
            <w:tcW w:w="3961" w:type="dxa"/>
          </w:tcPr>
          <w:p w:rsidR="005965BB" w:rsidRPr="00BC1BEB" w:rsidRDefault="005965BB" w:rsidP="007C5460">
            <w:pPr>
              <w:spacing w:before="40" w:after="40"/>
            </w:pPr>
            <w:r w:rsidRPr="00BC1BEB">
              <w:t>0 </w:t>
            </w:r>
            <w:r w:rsidRPr="00BC1BEB">
              <w:noBreakHyphen/>
              <w:t> 25</w:t>
            </w:r>
          </w:p>
        </w:tc>
      </w:tr>
    </w:tbl>
    <w:p w:rsidR="005965BB" w:rsidRPr="00BC1BEB" w:rsidRDefault="005965BB" w:rsidP="005965BB">
      <w:pPr>
        <w:pStyle w:val="Heading3"/>
        <w:rPr>
          <w:lang w:val="en-AU"/>
        </w:rPr>
      </w:pPr>
      <w:bookmarkStart w:id="35" w:name="_Toc390823452"/>
      <w:bookmarkStart w:id="36" w:name="_Toc391429144"/>
      <w:bookmarkStart w:id="37" w:name="_Toc396034070"/>
      <w:bookmarkStart w:id="38" w:name="_Toc398800253"/>
      <w:r w:rsidRPr="00BC1BEB">
        <w:rPr>
          <w:lang w:val="en-AU"/>
        </w:rPr>
        <w:t>Blasting and Overbreak</w:t>
      </w:r>
      <w:bookmarkEnd w:id="35"/>
      <w:bookmarkEnd w:id="36"/>
      <w:bookmarkEnd w:id="37"/>
      <w:bookmarkEnd w:id="38"/>
    </w:p>
    <w:p w:rsidR="005965BB" w:rsidRPr="00BC1BEB" w:rsidRDefault="005965BB" w:rsidP="005965BB">
      <w:r w:rsidRPr="00BC1BEB">
        <w:t>Ensure blasting is not excessive</w:t>
      </w:r>
      <w:r>
        <w:t xml:space="preserve">. </w:t>
      </w:r>
      <w:r w:rsidRPr="00BC1BEB">
        <w:t>There will be no payment for overbreak beyond the limits of excavation specified.</w:t>
      </w:r>
    </w:p>
    <w:p w:rsidR="005965BB" w:rsidRPr="00BC1BEB" w:rsidRDefault="005965BB" w:rsidP="005965BB">
      <w:pPr>
        <w:pStyle w:val="Heading3"/>
        <w:rPr>
          <w:lang w:val="en-AU"/>
        </w:rPr>
      </w:pPr>
      <w:bookmarkStart w:id="39" w:name="_Toc390823453"/>
      <w:bookmarkStart w:id="40" w:name="_Toc391429145"/>
      <w:bookmarkStart w:id="41" w:name="_Toc396034071"/>
      <w:bookmarkStart w:id="42" w:name="_Toc398800254"/>
      <w:r w:rsidRPr="00BC1BEB">
        <w:rPr>
          <w:lang w:val="en-AU"/>
        </w:rPr>
        <w:lastRenderedPageBreak/>
        <w:t>Stability of Works</w:t>
      </w:r>
      <w:bookmarkEnd w:id="39"/>
      <w:bookmarkEnd w:id="40"/>
      <w:bookmarkEnd w:id="41"/>
      <w:bookmarkEnd w:id="42"/>
      <w:r w:rsidRPr="00BC1BEB">
        <w:rPr>
          <w:lang w:val="en-AU"/>
        </w:rPr>
        <w:t>, Rock Cuttings</w:t>
      </w:r>
    </w:p>
    <w:p w:rsidR="005965BB" w:rsidRPr="00BC1BEB" w:rsidRDefault="005965BB" w:rsidP="005965BB">
      <w:r w:rsidRPr="00BC1BEB">
        <w:t>Remove all loose material and rock which has been rendered unstable.</w:t>
      </w:r>
    </w:p>
    <w:p w:rsidR="005965BB" w:rsidRPr="00BC1BEB" w:rsidRDefault="005965BB" w:rsidP="005965BB">
      <w:pPr>
        <w:pStyle w:val="Heading2"/>
        <w:rPr>
          <w:lang w:val="en-AU"/>
        </w:rPr>
      </w:pPr>
      <w:bookmarkStart w:id="43" w:name="_Toc390823454"/>
      <w:bookmarkStart w:id="44" w:name="_Toc391429146"/>
      <w:bookmarkStart w:id="45" w:name="_Toc396034072"/>
      <w:bookmarkStart w:id="46" w:name="_Toc398800255"/>
      <w:r w:rsidRPr="00BC1BEB">
        <w:rPr>
          <w:lang w:val="en-AU"/>
        </w:rPr>
        <w:t>Earthworks In Fill</w:t>
      </w:r>
      <w:bookmarkEnd w:id="43"/>
      <w:bookmarkEnd w:id="44"/>
      <w:bookmarkEnd w:id="45"/>
      <w:bookmarkEnd w:id="46"/>
    </w:p>
    <w:p w:rsidR="005965BB" w:rsidRPr="00BC1BEB" w:rsidRDefault="005965BB" w:rsidP="005965BB">
      <w:pPr>
        <w:pStyle w:val="Heading3"/>
        <w:rPr>
          <w:lang w:val="en-AU"/>
        </w:rPr>
      </w:pPr>
      <w:bookmarkStart w:id="47" w:name="_Toc390823455"/>
      <w:bookmarkStart w:id="48" w:name="_Toc391429147"/>
      <w:bookmarkStart w:id="49" w:name="_Toc396034073"/>
      <w:bookmarkStart w:id="50" w:name="_Toc398800256"/>
      <w:r w:rsidRPr="00BC1BEB">
        <w:rPr>
          <w:lang w:val="en-AU"/>
        </w:rPr>
        <w:t>Description</w:t>
      </w:r>
      <w:bookmarkEnd w:id="47"/>
      <w:bookmarkEnd w:id="48"/>
      <w:bookmarkEnd w:id="49"/>
      <w:bookmarkEnd w:id="50"/>
    </w:p>
    <w:p w:rsidR="005965BB" w:rsidRPr="00BC1BEB" w:rsidRDefault="005965BB" w:rsidP="005965BB">
      <w:r w:rsidRPr="00BC1BEB">
        <w:t xml:space="preserve">Earthworks in fill includes </w:t>
      </w:r>
      <w:r>
        <w:t xml:space="preserve">preparation prior to filling, </w:t>
      </w:r>
      <w:r w:rsidRPr="00BC1BEB">
        <w:t>winning, hauling, placing</w:t>
      </w:r>
      <w:r>
        <w:t>,</w:t>
      </w:r>
      <w:r w:rsidRPr="00BC1BEB">
        <w:t xml:space="preserve"> compacting</w:t>
      </w:r>
      <w:r>
        <w:t>, and trimming</w:t>
      </w:r>
      <w:r w:rsidRPr="00BC1BEB">
        <w:t xml:space="preserve"> material on all prepared areas including holes, pits and other depressions.</w:t>
      </w:r>
    </w:p>
    <w:p w:rsidR="005965BB" w:rsidRPr="00BC1BEB" w:rsidRDefault="005965BB" w:rsidP="005965BB">
      <w:pPr>
        <w:pStyle w:val="Heading3"/>
        <w:rPr>
          <w:lang w:val="en-AU"/>
        </w:rPr>
      </w:pPr>
      <w:r w:rsidRPr="00BC1BEB">
        <w:rPr>
          <w:lang w:val="en-AU"/>
        </w:rPr>
        <w:t>Preparation Prior to Filling</w:t>
      </w:r>
      <w:r>
        <w:rPr>
          <w:lang w:val="en-AU"/>
        </w:rPr>
        <w:t xml:space="preserve"> – Hold Point</w:t>
      </w:r>
    </w:p>
    <w:p w:rsidR="005965BB" w:rsidRDefault="005965BB" w:rsidP="005965BB">
      <w:r w:rsidRPr="00520B8D">
        <w:t>Subseque</w:t>
      </w:r>
      <w:r>
        <w:t>nt to stripping of top layer apply a minimum of three passes with maximum mass compaction equipment.</w:t>
      </w:r>
    </w:p>
    <w:p w:rsidR="005965BB" w:rsidRPr="00BC1BEB" w:rsidRDefault="005965BB" w:rsidP="005965BB">
      <w:r>
        <w:rPr>
          <w:b/>
        </w:rPr>
        <w:t xml:space="preserve">Hold Point - </w:t>
      </w:r>
      <w:r w:rsidRPr="00520B8D">
        <w:t>Once moisture conditioned and compacted, subject each lot to a proof roll</w:t>
      </w:r>
      <w:r>
        <w:t>,</w:t>
      </w:r>
      <w:r w:rsidRPr="00520B8D">
        <w:t xml:space="preserve"> with the Superintendent in atten</w:t>
      </w:r>
      <w:r>
        <w:t>dance, as specified in</w:t>
      </w:r>
      <w:r w:rsidRPr="00520B8D">
        <w:t xml:space="preserve"> the Proof Rolling </w:t>
      </w:r>
      <w:r>
        <w:t>sub-</w:t>
      </w:r>
      <w:r w:rsidRPr="00520B8D">
        <w:t>clause</w:t>
      </w:r>
      <w:r>
        <w:t xml:space="preserve"> of the Conformance clause in this work section.</w:t>
      </w:r>
    </w:p>
    <w:p w:rsidR="005965BB" w:rsidRPr="00BC1BEB" w:rsidRDefault="005965BB" w:rsidP="005965BB">
      <w:pPr>
        <w:pStyle w:val="Heading3"/>
        <w:rPr>
          <w:lang w:val="en-AU"/>
        </w:rPr>
      </w:pPr>
      <w:bookmarkStart w:id="51" w:name="_Toc390823456"/>
      <w:bookmarkStart w:id="52" w:name="_Toc391429148"/>
      <w:bookmarkStart w:id="53" w:name="_Toc396034074"/>
      <w:bookmarkStart w:id="54" w:name="_Toc398800257"/>
      <w:r w:rsidRPr="00BC1BEB">
        <w:rPr>
          <w:lang w:val="en-AU"/>
        </w:rPr>
        <w:t>Benching</w:t>
      </w:r>
      <w:bookmarkEnd w:id="51"/>
      <w:bookmarkEnd w:id="52"/>
      <w:bookmarkEnd w:id="53"/>
      <w:bookmarkEnd w:id="54"/>
    </w:p>
    <w:p w:rsidR="005965BB" w:rsidRPr="00BC1BEB" w:rsidRDefault="005965BB" w:rsidP="005965BB">
      <w:r w:rsidRPr="00BC1BEB">
        <w:t>Cut a bench at the toe of the lower side batter when natural surface inclines at steeper than eight horizontal to one vertical.</w:t>
      </w:r>
    </w:p>
    <w:p w:rsidR="005965BB" w:rsidRPr="00BC1BEB" w:rsidRDefault="005965BB" w:rsidP="005965BB">
      <w:r w:rsidRPr="00BC1BEB">
        <w:t>Ensure the bench slopes downwards towards the centre line of the road and is 3 metres wide to provide a sound key for the toe of the fill.</w:t>
      </w:r>
    </w:p>
    <w:p w:rsidR="005965BB" w:rsidRPr="00BC1BEB" w:rsidRDefault="005965BB" w:rsidP="005965BB">
      <w:r w:rsidRPr="00BC1BEB">
        <w:t>Terrace the existing surface where side slopes are steeper than three horizontal to one vertical to provide a key for the fill.</w:t>
      </w:r>
    </w:p>
    <w:p w:rsidR="005965BB" w:rsidRPr="00BC1BEB" w:rsidRDefault="005965BB" w:rsidP="005965BB">
      <w:pPr>
        <w:pStyle w:val="Heading3"/>
        <w:rPr>
          <w:lang w:val="en-AU"/>
        </w:rPr>
      </w:pPr>
      <w:bookmarkStart w:id="55" w:name="_Toc390823457"/>
      <w:bookmarkStart w:id="56" w:name="_Toc391429149"/>
      <w:bookmarkStart w:id="57" w:name="_Toc396034075"/>
      <w:bookmarkStart w:id="58" w:name="_Toc398800258"/>
      <w:r w:rsidRPr="00BC1BEB">
        <w:rPr>
          <w:lang w:val="en-AU"/>
        </w:rPr>
        <w:t xml:space="preserve">Unsuitable Material Beneath Fill </w:t>
      </w:r>
      <w:r>
        <w:rPr>
          <w:lang w:val="en-AU"/>
        </w:rPr>
        <w:t>–</w:t>
      </w:r>
      <w:r w:rsidRPr="00BC1BEB">
        <w:rPr>
          <w:lang w:val="en-AU"/>
        </w:rPr>
        <w:t xml:space="preserve"> </w:t>
      </w:r>
      <w:bookmarkEnd w:id="55"/>
      <w:bookmarkEnd w:id="56"/>
      <w:bookmarkEnd w:id="57"/>
      <w:bookmarkEnd w:id="58"/>
      <w:r>
        <w:rPr>
          <w:lang w:val="en-AU"/>
        </w:rPr>
        <w:t>Hold point</w:t>
      </w:r>
    </w:p>
    <w:p w:rsidR="005965BB" w:rsidRPr="00BC1BEB" w:rsidRDefault="005965BB" w:rsidP="005965BB">
      <w:r w:rsidRPr="00DD5378">
        <w:rPr>
          <w:b/>
        </w:rPr>
        <w:t xml:space="preserve">Hold point </w:t>
      </w:r>
      <w:r w:rsidRPr="00DD5378">
        <w:t xml:space="preserve">- </w:t>
      </w:r>
      <w:r w:rsidRPr="00BC1BEB">
        <w:t>Obtain directions from the Superintendent before works commence.</w:t>
      </w:r>
    </w:p>
    <w:p w:rsidR="005965BB" w:rsidRPr="00BC1BEB" w:rsidRDefault="005965BB" w:rsidP="005965BB">
      <w:r w:rsidRPr="00BC1BEB">
        <w:t>Remove unsuitable foundation material as directed before the fill is placed.</w:t>
      </w:r>
    </w:p>
    <w:p w:rsidR="005965BB" w:rsidRPr="00BC1BEB" w:rsidRDefault="005965BB" w:rsidP="005965BB">
      <w:r w:rsidRPr="00BC1BEB">
        <w:t>Replace excavated material wi</w:t>
      </w:r>
      <w:r>
        <w:t>th standard fill compacted to 95</w:t>
      </w:r>
      <w:r w:rsidRPr="00BC1BEB">
        <w:t>% relative compaction.</w:t>
      </w:r>
    </w:p>
    <w:p w:rsidR="005965BB" w:rsidRPr="00BC1BEB" w:rsidRDefault="005965BB" w:rsidP="005965BB">
      <w:pPr>
        <w:pStyle w:val="Heading3"/>
        <w:rPr>
          <w:lang w:val="en-AU"/>
        </w:rPr>
      </w:pPr>
      <w:bookmarkStart w:id="59" w:name="_Toc390823458"/>
      <w:bookmarkStart w:id="60" w:name="_Toc391429150"/>
      <w:bookmarkStart w:id="61" w:name="_Toc396034076"/>
      <w:bookmarkStart w:id="62" w:name="_Toc398800259"/>
      <w:r w:rsidRPr="00BC1BEB">
        <w:rPr>
          <w:lang w:val="en-AU"/>
        </w:rPr>
        <w:t>Construction Methods</w:t>
      </w:r>
      <w:bookmarkEnd w:id="59"/>
      <w:bookmarkEnd w:id="60"/>
      <w:bookmarkEnd w:id="61"/>
      <w:bookmarkEnd w:id="62"/>
    </w:p>
    <w:p w:rsidR="005965BB" w:rsidRPr="00BC1BEB" w:rsidRDefault="005965BB" w:rsidP="005965BB">
      <w:r w:rsidRPr="00BC1BEB">
        <w:t>Fill by either the "Compacted Layer", "Rocky Material" or "Rock Fill" method.</w:t>
      </w:r>
    </w:p>
    <w:p w:rsidR="005965BB" w:rsidRPr="00BC1BEB" w:rsidRDefault="005965BB" w:rsidP="005965BB">
      <w:r w:rsidRPr="00BC1BEB">
        <w:t>Select appropriate method(s).</w:t>
      </w:r>
    </w:p>
    <w:p w:rsidR="005965BB" w:rsidRPr="00E71BA8" w:rsidRDefault="005965BB" w:rsidP="005965BB">
      <w:pPr>
        <w:pStyle w:val="Heading4"/>
      </w:pPr>
      <w:r w:rsidRPr="00E71BA8">
        <w:t>Compacted Layer Method</w:t>
      </w:r>
    </w:p>
    <w:p w:rsidR="005965BB" w:rsidRPr="00BC1BEB" w:rsidRDefault="005965BB" w:rsidP="005965BB">
      <w:r w:rsidRPr="00BC1BEB">
        <w:t>Use where material generally does not contain cobbles, boulders or broken rock.</w:t>
      </w:r>
    </w:p>
    <w:p w:rsidR="005965BB" w:rsidRPr="00BC1BEB" w:rsidRDefault="005965BB" w:rsidP="005965BB">
      <w:pPr>
        <w:pStyle w:val="Bullet"/>
        <w:tabs>
          <w:tab w:val="clear" w:pos="360"/>
          <w:tab w:val="num" w:pos="1276"/>
        </w:tabs>
        <w:ind w:left="1276" w:hanging="284"/>
      </w:pPr>
      <w:r w:rsidRPr="00BC1BEB">
        <w:t>Deposit and spread the material in uniform level layers to a maximum thickness of 250 mm loose measurement for the full width of fill.</w:t>
      </w:r>
    </w:p>
    <w:p w:rsidR="005965BB" w:rsidRPr="00BC1BEB" w:rsidRDefault="005965BB" w:rsidP="005965BB">
      <w:pPr>
        <w:pStyle w:val="Bullet"/>
        <w:tabs>
          <w:tab w:val="clear" w:pos="360"/>
          <w:tab w:val="num" w:pos="1276"/>
        </w:tabs>
        <w:ind w:left="1276" w:hanging="284"/>
      </w:pPr>
      <w:r w:rsidRPr="00BC1BEB">
        <w:t xml:space="preserve">Compact each layer to the specified compaction (refer </w:t>
      </w:r>
      <w:r w:rsidRPr="00E71BA8">
        <w:rPr>
          <w:b/>
          <w:i/>
        </w:rPr>
        <w:t>Table - Dry Density Ratios for Conformance</w:t>
      </w:r>
      <w:r>
        <w:t xml:space="preserve"> in CONFORMANCE TESTING</w:t>
      </w:r>
      <w:r w:rsidRPr="00BC1BEB">
        <w:t>) before placing the next layer.</w:t>
      </w:r>
    </w:p>
    <w:p w:rsidR="005965BB" w:rsidRPr="00BC1BEB" w:rsidRDefault="005965BB" w:rsidP="005965BB">
      <w:pPr>
        <w:pStyle w:val="Bullet"/>
        <w:tabs>
          <w:tab w:val="clear" w:pos="360"/>
          <w:tab w:val="num" w:pos="1276"/>
        </w:tabs>
        <w:ind w:left="1276" w:hanging="284"/>
      </w:pPr>
      <w:r w:rsidRPr="00BC1BEB">
        <w:t>Use standard fill for the subgrade</w:t>
      </w:r>
      <w:r>
        <w:t xml:space="preserve"> layer</w:t>
      </w:r>
      <w:r w:rsidRPr="00BC1BEB">
        <w:t>.</w:t>
      </w:r>
    </w:p>
    <w:p w:rsidR="005965BB" w:rsidRPr="00BC1BEB" w:rsidRDefault="005965BB" w:rsidP="005965BB">
      <w:pPr>
        <w:pStyle w:val="guidenotes"/>
        <w:rPr>
          <w:lang w:val="en-AU"/>
        </w:rPr>
      </w:pPr>
      <w:r w:rsidRPr="00BC1BEB">
        <w:rPr>
          <w:lang w:val="en-AU"/>
        </w:rPr>
        <w:t>[Ensure this method is specified</w:t>
      </w:r>
      <w:r>
        <w:rPr>
          <w:lang w:val="en-AU"/>
        </w:rPr>
        <w:t xml:space="preserve">. </w:t>
      </w:r>
      <w:r w:rsidRPr="00BC1BEB">
        <w:rPr>
          <w:lang w:val="en-AU"/>
        </w:rPr>
        <w:t>Delete non</w:t>
      </w:r>
      <w:r w:rsidRPr="00BC1BEB">
        <w:rPr>
          <w:lang w:val="en-AU"/>
        </w:rPr>
        <w:noBreakHyphen/>
        <w:t>relevant sentences where this is the only method specified]</w:t>
      </w:r>
    </w:p>
    <w:p w:rsidR="005965BB" w:rsidRPr="00E71BA8" w:rsidRDefault="005965BB" w:rsidP="005965BB">
      <w:pPr>
        <w:pStyle w:val="Heading4"/>
      </w:pPr>
      <w:r w:rsidRPr="00E71BA8">
        <w:t>Rocky Material Method</w:t>
      </w:r>
    </w:p>
    <w:p w:rsidR="005965BB" w:rsidRPr="00BC1BEB" w:rsidRDefault="005965BB" w:rsidP="005965BB">
      <w:r w:rsidRPr="00BC1BEB">
        <w:t>Use where material contains some cobbles and boulders (maximum size 600 mm) with sufficient fines for the work to be free of voids.</w:t>
      </w:r>
    </w:p>
    <w:p w:rsidR="005965BB" w:rsidRPr="00BC1BEB" w:rsidRDefault="005965BB" w:rsidP="005965BB">
      <w:pPr>
        <w:pStyle w:val="Bullet"/>
        <w:tabs>
          <w:tab w:val="clear" w:pos="360"/>
          <w:tab w:val="num" w:pos="1276"/>
        </w:tabs>
        <w:ind w:left="1276" w:hanging="284"/>
      </w:pPr>
      <w:r w:rsidRPr="00BC1BEB">
        <w:t xml:space="preserve">Break up rocks bridging between adjacent </w:t>
      </w:r>
      <w:proofErr w:type="gramStart"/>
      <w:r w:rsidRPr="00BC1BEB">
        <w:t>material</w:t>
      </w:r>
      <w:proofErr w:type="gramEnd"/>
      <w:r w:rsidRPr="00BC1BEB">
        <w:t xml:space="preserve"> to prevent cavities being formed.</w:t>
      </w:r>
    </w:p>
    <w:p w:rsidR="005965BB" w:rsidRPr="00BC1BEB" w:rsidRDefault="005965BB" w:rsidP="005965BB">
      <w:pPr>
        <w:pStyle w:val="Bullet"/>
        <w:tabs>
          <w:tab w:val="clear" w:pos="360"/>
          <w:tab w:val="num" w:pos="1276"/>
        </w:tabs>
        <w:ind w:left="1276" w:hanging="284"/>
      </w:pPr>
      <w:r w:rsidRPr="00BC1BEB">
        <w:lastRenderedPageBreak/>
        <w:t>Maximum rock dimension: 600 mm or one</w:t>
      </w:r>
      <w:r w:rsidRPr="00BC1BEB">
        <w:noBreakHyphen/>
        <w:t>half the height of fill at the section where the rock is placed.</w:t>
      </w:r>
    </w:p>
    <w:p w:rsidR="005965BB" w:rsidRPr="00BC1BEB" w:rsidRDefault="005965BB" w:rsidP="005965BB">
      <w:pPr>
        <w:pStyle w:val="Bullet"/>
        <w:tabs>
          <w:tab w:val="clear" w:pos="360"/>
          <w:tab w:val="num" w:pos="1276"/>
        </w:tabs>
        <w:ind w:left="1276" w:hanging="284"/>
      </w:pPr>
      <w:r w:rsidRPr="00BC1BEB">
        <w:t>Spread material in layers approximately equal to the maximum rock size.</w:t>
      </w:r>
    </w:p>
    <w:p w:rsidR="005965BB" w:rsidRPr="00BC1BEB" w:rsidRDefault="005965BB" w:rsidP="005965BB">
      <w:pPr>
        <w:pStyle w:val="Bullet"/>
        <w:tabs>
          <w:tab w:val="clear" w:pos="360"/>
          <w:tab w:val="num" w:pos="1276"/>
        </w:tabs>
        <w:ind w:left="1276" w:hanging="284"/>
      </w:pPr>
      <w:r w:rsidRPr="00BC1BEB">
        <w:t>Work the rocky material in each layer until it is firm and unyielding.</w:t>
      </w:r>
    </w:p>
    <w:p w:rsidR="005965BB" w:rsidRDefault="005965BB" w:rsidP="005965BB">
      <w:pPr>
        <w:pStyle w:val="Bullet"/>
        <w:tabs>
          <w:tab w:val="clear" w:pos="360"/>
          <w:tab w:val="num" w:pos="1276"/>
        </w:tabs>
        <w:ind w:left="1276" w:hanging="284"/>
      </w:pPr>
      <w:r w:rsidRPr="00BC1BEB">
        <w:t>Construct to the bottom of the subgrade layer.</w:t>
      </w:r>
    </w:p>
    <w:p w:rsidR="005965BB" w:rsidRPr="00BC1BEB" w:rsidRDefault="005965BB" w:rsidP="005965BB">
      <w:pPr>
        <w:pStyle w:val="Bullet"/>
        <w:tabs>
          <w:tab w:val="clear" w:pos="360"/>
          <w:tab w:val="num" w:pos="1276"/>
        </w:tabs>
        <w:ind w:left="1276" w:hanging="284"/>
      </w:pPr>
      <w:r>
        <w:t>Use standard fill for the subgrade layer</w:t>
      </w:r>
    </w:p>
    <w:p w:rsidR="005965BB" w:rsidRPr="00E71BA8" w:rsidRDefault="005965BB" w:rsidP="005965BB">
      <w:pPr>
        <w:pStyle w:val="Heading4"/>
      </w:pPr>
      <w:r w:rsidRPr="00E71BA8">
        <w:t>Rockfill Method</w:t>
      </w:r>
    </w:p>
    <w:p w:rsidR="005965BB" w:rsidRPr="00BC1BEB" w:rsidRDefault="005965BB" w:rsidP="005965BB">
      <w:r w:rsidRPr="00BC1BEB">
        <w:t>Use where material is predominantly cobbles or boulders with insufficient fines to fill voids.</w:t>
      </w:r>
    </w:p>
    <w:p w:rsidR="005965BB" w:rsidRPr="00BC1BEB" w:rsidRDefault="005965BB" w:rsidP="005965BB">
      <w:pPr>
        <w:pStyle w:val="Bullet"/>
        <w:tabs>
          <w:tab w:val="clear" w:pos="360"/>
          <w:tab w:val="num" w:pos="1276"/>
        </w:tabs>
        <w:ind w:left="1276" w:hanging="284"/>
      </w:pPr>
      <w:r w:rsidRPr="00BC1BEB">
        <w:t>Place and work the material until interlock is achieved.</w:t>
      </w:r>
    </w:p>
    <w:p w:rsidR="005965BB" w:rsidRPr="00BC1BEB" w:rsidRDefault="005965BB" w:rsidP="005965BB">
      <w:pPr>
        <w:pStyle w:val="Bullet"/>
        <w:tabs>
          <w:tab w:val="clear" w:pos="360"/>
          <w:tab w:val="num" w:pos="1276"/>
        </w:tabs>
        <w:ind w:left="1276" w:hanging="284"/>
      </w:pPr>
      <w:r w:rsidRPr="00BC1BEB">
        <w:t>Advance the fill by full width construction</w:t>
      </w:r>
      <w:r>
        <w:t xml:space="preserve">. </w:t>
      </w:r>
      <w:r w:rsidRPr="00BC1BEB">
        <w:t>Side dumping shall not be undertaken</w:t>
      </w:r>
      <w:r>
        <w:t xml:space="preserve">. </w:t>
      </w:r>
      <w:r w:rsidRPr="00BC1BEB">
        <w:t>The construction face shall be concave, with the shoulder face well in advance of the centre, except when filling in swamps or soft material when the advancing face ends shall be convex.</w:t>
      </w:r>
    </w:p>
    <w:p w:rsidR="005965BB" w:rsidRPr="00BC1BEB" w:rsidRDefault="005965BB" w:rsidP="005965BB">
      <w:pPr>
        <w:pStyle w:val="Bullet"/>
        <w:tabs>
          <w:tab w:val="clear" w:pos="360"/>
          <w:tab w:val="num" w:pos="1276"/>
        </w:tabs>
        <w:ind w:left="1276" w:hanging="284"/>
      </w:pPr>
      <w:r>
        <w:t>Rock Dimensions;</w:t>
      </w:r>
    </w:p>
    <w:p w:rsidR="005965BB" w:rsidRPr="00BC1BEB" w:rsidRDefault="005965BB" w:rsidP="005965BB">
      <w:pPr>
        <w:pStyle w:val="Bullet"/>
        <w:numPr>
          <w:ilvl w:val="1"/>
          <w:numId w:val="1"/>
        </w:numPr>
      </w:pPr>
      <w:r w:rsidRPr="00BC1BEB">
        <w:t>Maximum vertical dimension: one</w:t>
      </w:r>
      <w:r w:rsidRPr="00BC1BEB">
        <w:noBreakHyphen/>
        <w:t>third of the height of fill being placed.</w:t>
      </w:r>
    </w:p>
    <w:p w:rsidR="005965BB" w:rsidRPr="00BC1BEB" w:rsidRDefault="005965BB" w:rsidP="005965BB">
      <w:pPr>
        <w:pStyle w:val="Bullet"/>
        <w:numPr>
          <w:ilvl w:val="1"/>
          <w:numId w:val="1"/>
        </w:numPr>
      </w:pPr>
      <w:r w:rsidRPr="00BC1BEB">
        <w:t>Maximum horizontal dimension: one</w:t>
      </w:r>
      <w:r w:rsidRPr="00BC1BEB">
        <w:noBreakHyphen/>
        <w:t>half of the height of the fill being placed.</w:t>
      </w:r>
    </w:p>
    <w:p w:rsidR="005965BB" w:rsidRDefault="005965BB" w:rsidP="005965BB">
      <w:pPr>
        <w:pStyle w:val="Bullet"/>
        <w:tabs>
          <w:tab w:val="clear" w:pos="360"/>
          <w:tab w:val="num" w:pos="1276"/>
        </w:tabs>
        <w:ind w:left="1276" w:hanging="284"/>
      </w:pPr>
      <w:r w:rsidRPr="00BC1BEB">
        <w:t>Construct to 300 mm below the bottom of the subgrade layer</w:t>
      </w:r>
      <w:r>
        <w:t xml:space="preserve">. </w:t>
      </w:r>
      <w:r w:rsidRPr="00BC1BEB">
        <w:t>Within 300 mm of the bottom of the subgrade layer use the Compacted Layer Method or Rocky Material Method, with a maximum particle size of 150 mm.</w:t>
      </w:r>
    </w:p>
    <w:p w:rsidR="005965BB" w:rsidRPr="00BC1BEB" w:rsidRDefault="005965BB" w:rsidP="005965BB">
      <w:pPr>
        <w:pStyle w:val="Bullet"/>
        <w:tabs>
          <w:tab w:val="clear" w:pos="360"/>
          <w:tab w:val="num" w:pos="1276"/>
        </w:tabs>
        <w:ind w:left="1276" w:hanging="284"/>
      </w:pPr>
      <w:r>
        <w:t>Use standard fill for the subgrade layer.</w:t>
      </w:r>
    </w:p>
    <w:p w:rsidR="005965BB" w:rsidRDefault="005965BB" w:rsidP="005965BB">
      <w:pPr>
        <w:pStyle w:val="guidenotes"/>
        <w:rPr>
          <w:lang w:val="en-AU"/>
        </w:rPr>
      </w:pPr>
      <w:r w:rsidRPr="00BC1BEB">
        <w:rPr>
          <w:lang w:val="en-AU"/>
        </w:rPr>
        <w:t>[Delete Rocky Material and/or Rockfill Method where not required]</w:t>
      </w:r>
    </w:p>
    <w:p w:rsidR="005965BB" w:rsidRDefault="005965BB" w:rsidP="005965BB">
      <w:pPr>
        <w:pStyle w:val="Heading2"/>
        <w:rPr>
          <w:lang w:val="en-AU"/>
        </w:rPr>
      </w:pPr>
      <w:bookmarkStart w:id="63" w:name="_Toc390823459"/>
      <w:bookmarkStart w:id="64" w:name="_Toc391429151"/>
      <w:bookmarkStart w:id="65" w:name="_Toc396034077"/>
      <w:bookmarkStart w:id="66" w:name="_Toc398800260"/>
      <w:r w:rsidRPr="00BC1BEB">
        <w:rPr>
          <w:lang w:val="en-AU"/>
        </w:rPr>
        <w:t>Fill Material</w:t>
      </w:r>
      <w:bookmarkEnd w:id="63"/>
      <w:bookmarkEnd w:id="64"/>
      <w:bookmarkEnd w:id="65"/>
      <w:bookmarkEnd w:id="66"/>
    </w:p>
    <w:p w:rsidR="005965BB" w:rsidRPr="00100644" w:rsidRDefault="005965BB" w:rsidP="005965BB">
      <w:r>
        <w:t>The following material properties are the properties intrinsic to the materials and may differ from the properties required when the materials are incorporated into the works.</w:t>
      </w:r>
    </w:p>
    <w:p w:rsidR="005965BB" w:rsidRPr="00BC1BEB" w:rsidRDefault="005965BB" w:rsidP="005965BB">
      <w:pPr>
        <w:pStyle w:val="Heading3"/>
        <w:rPr>
          <w:lang w:val="en-AU"/>
        </w:rPr>
      </w:pPr>
      <w:r w:rsidRPr="00BC1BEB">
        <w:rPr>
          <w:lang w:val="en-AU"/>
        </w:rPr>
        <w:t>General Fill</w:t>
      </w:r>
    </w:p>
    <w:p w:rsidR="005965BB" w:rsidRPr="00BC1BEB" w:rsidRDefault="005965BB" w:rsidP="005965BB">
      <w:r w:rsidRPr="00BC1BEB">
        <w:t>Use the best locally available material.</w:t>
      </w:r>
    </w:p>
    <w:p w:rsidR="005965BB" w:rsidRDefault="005965BB" w:rsidP="005965BB">
      <w:r w:rsidRPr="00BC1BEB">
        <w:t>Use fill material, whether cut or borrow, that is free of organic matter an</w:t>
      </w:r>
      <w:r>
        <w:t>d has a minimum soaked CBR at 95% MMDD of 20%, to AS 1289</w:t>
      </w:r>
      <w:r w:rsidRPr="00BC1BEB">
        <w:t>, and a plasticity index between 2% and 15%.</w:t>
      </w:r>
    </w:p>
    <w:p w:rsidR="005965BB" w:rsidRPr="00BC1BEB" w:rsidRDefault="005965BB" w:rsidP="005965BB">
      <w:pPr>
        <w:pStyle w:val="guidenotes"/>
        <w:rPr>
          <w:lang w:val="en-AU"/>
        </w:rPr>
      </w:pPr>
      <w:r w:rsidRPr="00BC1BEB">
        <w:rPr>
          <w:lang w:val="en-AU"/>
        </w:rPr>
        <w:t>[</w:t>
      </w:r>
      <w:r>
        <w:rPr>
          <w:lang w:val="en-AU"/>
        </w:rPr>
        <w:t xml:space="preserve">To AS 1289. </w:t>
      </w:r>
      <w:r w:rsidRPr="00BC1BEB">
        <w:rPr>
          <w:lang w:val="en-AU"/>
        </w:rPr>
        <w:t>Ensure specified minimum CBR is consistent with locally available materials and the proposed pavement design]</w:t>
      </w:r>
    </w:p>
    <w:p w:rsidR="005965BB" w:rsidRPr="00BC1BEB" w:rsidRDefault="005965BB" w:rsidP="005965BB">
      <w:pPr>
        <w:pStyle w:val="Heading3"/>
        <w:rPr>
          <w:lang w:val="en-AU"/>
        </w:rPr>
      </w:pPr>
      <w:bookmarkStart w:id="67" w:name="_Toc390823460"/>
      <w:bookmarkStart w:id="68" w:name="_Toc391429152"/>
      <w:bookmarkStart w:id="69" w:name="_Toc396034078"/>
      <w:bookmarkStart w:id="70" w:name="_Toc398800261"/>
      <w:r w:rsidRPr="00BC1BEB">
        <w:rPr>
          <w:lang w:val="en-AU"/>
        </w:rPr>
        <w:t>Standard Fill</w:t>
      </w:r>
      <w:bookmarkEnd w:id="67"/>
      <w:bookmarkEnd w:id="68"/>
      <w:bookmarkEnd w:id="69"/>
      <w:bookmarkEnd w:id="70"/>
    </w:p>
    <w:p w:rsidR="005965BB" w:rsidRPr="00BC1BEB" w:rsidRDefault="005965BB" w:rsidP="005965BB">
      <w:r>
        <w:t>Must be free of organic matter and c</w:t>
      </w:r>
      <w:r w:rsidRPr="00BC1BEB">
        <w:t>onform to the following properties:</w:t>
      </w:r>
    </w:p>
    <w:p w:rsidR="005965BB" w:rsidRPr="00BC1BEB" w:rsidRDefault="005965BB" w:rsidP="005965BB">
      <w:pPr>
        <w:pStyle w:val="guidenotes"/>
        <w:rPr>
          <w:lang w:val="en-AU"/>
        </w:rPr>
      </w:pPr>
      <w:r w:rsidRPr="00BC1BEB">
        <w:rPr>
          <w:lang w:val="en-AU"/>
        </w:rPr>
        <w:t>[Typical values]</w:t>
      </w:r>
    </w:p>
    <w:tbl>
      <w:tblPr>
        <w:tblW w:w="4754" w:type="pct"/>
        <w:tblBorders>
          <w:top w:val="single" w:sz="6" w:space="0" w:color="auto"/>
          <w:left w:val="single" w:sz="6" w:space="0" w:color="auto"/>
          <w:bottom w:val="single" w:sz="6" w:space="0" w:color="auto"/>
          <w:right w:val="single" w:sz="6" w:space="0" w:color="auto"/>
          <w:insideH w:val="single" w:sz="6" w:space="0" w:color="auto"/>
          <w:insideV w:val="dotted" w:sz="4" w:space="0" w:color="auto"/>
        </w:tblBorders>
        <w:tblLook w:val="0000" w:firstRow="0" w:lastRow="0" w:firstColumn="0" w:lastColumn="0" w:noHBand="0" w:noVBand="0"/>
      </w:tblPr>
      <w:tblGrid>
        <w:gridCol w:w="3157"/>
        <w:gridCol w:w="1990"/>
        <w:gridCol w:w="1990"/>
        <w:gridCol w:w="2658"/>
      </w:tblGrid>
      <w:tr w:rsidR="005965BB" w:rsidTr="007C5460">
        <w:trPr>
          <w:trHeight w:val="353"/>
        </w:trPr>
        <w:tc>
          <w:tcPr>
            <w:tcW w:w="5000" w:type="pct"/>
            <w:gridSpan w:val="4"/>
            <w:tcBorders>
              <w:bottom w:val="single" w:sz="6" w:space="0" w:color="auto"/>
            </w:tcBorders>
          </w:tcPr>
          <w:p w:rsidR="005965BB" w:rsidRPr="00DD5378" w:rsidRDefault="005965BB" w:rsidP="007C5460">
            <w:pPr>
              <w:keepNext/>
              <w:spacing w:before="40" w:after="40"/>
              <w:rPr>
                <w:b/>
              </w:rPr>
            </w:pPr>
            <w:r w:rsidRPr="00DD5378">
              <w:rPr>
                <w:b/>
              </w:rPr>
              <w:lastRenderedPageBreak/>
              <w:t>Table - Standard fill properties</w:t>
            </w:r>
          </w:p>
        </w:tc>
      </w:tr>
      <w:tr w:rsidR="005965BB" w:rsidTr="007C5460">
        <w:trPr>
          <w:trHeight w:val="626"/>
        </w:trPr>
        <w:tc>
          <w:tcPr>
            <w:tcW w:w="2627" w:type="pct"/>
            <w:gridSpan w:val="2"/>
            <w:tcBorders>
              <w:right w:val="single" w:sz="6" w:space="0" w:color="auto"/>
            </w:tcBorders>
            <w:vAlign w:val="center"/>
          </w:tcPr>
          <w:p w:rsidR="005965BB" w:rsidRPr="00E71BA8" w:rsidRDefault="005965BB" w:rsidP="007C5460">
            <w:pPr>
              <w:keepNext/>
              <w:spacing w:before="40" w:after="40"/>
              <w:rPr>
                <w:b/>
              </w:rPr>
            </w:pPr>
            <w:r w:rsidRPr="00E71BA8">
              <w:rPr>
                <w:b/>
              </w:rPr>
              <w:t>Property</w:t>
            </w:r>
          </w:p>
        </w:tc>
        <w:tc>
          <w:tcPr>
            <w:tcW w:w="1016" w:type="pct"/>
            <w:tcBorders>
              <w:left w:val="single" w:sz="6" w:space="0" w:color="auto"/>
              <w:right w:val="single" w:sz="6" w:space="0" w:color="auto"/>
            </w:tcBorders>
            <w:vAlign w:val="center"/>
          </w:tcPr>
          <w:p w:rsidR="005965BB" w:rsidRPr="00E71BA8" w:rsidRDefault="005965BB" w:rsidP="007C5460">
            <w:pPr>
              <w:keepNext/>
              <w:spacing w:before="40" w:after="40"/>
              <w:jc w:val="center"/>
              <w:rPr>
                <w:b/>
              </w:rPr>
            </w:pPr>
            <w:r w:rsidRPr="00E71BA8">
              <w:rPr>
                <w:b/>
              </w:rPr>
              <w:t>Column 2</w:t>
            </w:r>
          </w:p>
        </w:tc>
        <w:tc>
          <w:tcPr>
            <w:tcW w:w="1357" w:type="pct"/>
            <w:tcBorders>
              <w:left w:val="single" w:sz="6" w:space="0" w:color="auto"/>
            </w:tcBorders>
            <w:vAlign w:val="center"/>
          </w:tcPr>
          <w:p w:rsidR="005965BB" w:rsidRPr="00E71BA8" w:rsidRDefault="005965BB" w:rsidP="007C5460">
            <w:pPr>
              <w:keepNext/>
              <w:spacing w:before="40" w:after="40"/>
              <w:jc w:val="center"/>
              <w:rPr>
                <w:b/>
              </w:rPr>
            </w:pPr>
            <w:r>
              <w:rPr>
                <w:b/>
              </w:rPr>
              <w:t>Default if no value shown in C</w:t>
            </w:r>
            <w:r w:rsidRPr="00E71BA8">
              <w:rPr>
                <w:b/>
              </w:rPr>
              <w:t>olumn 2</w:t>
            </w:r>
          </w:p>
        </w:tc>
      </w:tr>
      <w:tr w:rsidR="005965BB" w:rsidTr="007C5460">
        <w:trPr>
          <w:trHeight w:val="626"/>
        </w:trPr>
        <w:tc>
          <w:tcPr>
            <w:tcW w:w="2627" w:type="pct"/>
            <w:gridSpan w:val="2"/>
            <w:tcBorders>
              <w:right w:val="single" w:sz="6" w:space="0" w:color="auto"/>
            </w:tcBorders>
            <w:vAlign w:val="center"/>
          </w:tcPr>
          <w:p w:rsidR="005965BB" w:rsidRPr="00711EDD" w:rsidRDefault="005965BB" w:rsidP="007C5460">
            <w:pPr>
              <w:keepNext/>
              <w:spacing w:before="40" w:after="40"/>
              <w:rPr>
                <w:color w:val="723604"/>
              </w:rPr>
            </w:pPr>
            <w:r>
              <w:t>CBR 4 day soaked at 95% MMDD to AS 1289</w:t>
            </w:r>
            <w:r w:rsidRPr="00BC1BEB">
              <w:t>:</w:t>
            </w:r>
          </w:p>
        </w:tc>
        <w:tc>
          <w:tcPr>
            <w:tcW w:w="1016" w:type="pct"/>
            <w:tcBorders>
              <w:left w:val="single" w:sz="6" w:space="0" w:color="auto"/>
              <w:right w:val="single" w:sz="6" w:space="0" w:color="auto"/>
            </w:tcBorders>
            <w:vAlign w:val="center"/>
          </w:tcPr>
          <w:p w:rsidR="005965BB" w:rsidRPr="00BC1BEB" w:rsidRDefault="005965BB" w:rsidP="007C5460">
            <w:pPr>
              <w:keepNext/>
              <w:spacing w:before="40" w:after="40"/>
              <w:jc w:val="center"/>
            </w:pPr>
            <w:r w:rsidRPr="00711EDD">
              <w:rPr>
                <w:color w:val="723604"/>
              </w:rPr>
              <w:t>[enter information]</w:t>
            </w:r>
            <w:r>
              <w:rPr>
                <w:color w:val="723604"/>
              </w:rPr>
              <w:t xml:space="preserve"> </w:t>
            </w:r>
            <w:r w:rsidRPr="00BC1BEB">
              <w:t>min</w:t>
            </w:r>
            <w:r>
              <w:t>.</w:t>
            </w:r>
          </w:p>
        </w:tc>
        <w:tc>
          <w:tcPr>
            <w:tcW w:w="1357" w:type="pct"/>
            <w:tcBorders>
              <w:left w:val="single" w:sz="6" w:space="0" w:color="auto"/>
            </w:tcBorders>
            <w:vAlign w:val="center"/>
          </w:tcPr>
          <w:p w:rsidR="005965BB" w:rsidRPr="00BC1BEB" w:rsidRDefault="005965BB" w:rsidP="007C5460">
            <w:pPr>
              <w:keepNext/>
              <w:spacing w:before="40" w:after="40"/>
              <w:jc w:val="center"/>
            </w:pPr>
            <w:r>
              <w:t>20 min.</w:t>
            </w:r>
          </w:p>
        </w:tc>
      </w:tr>
      <w:tr w:rsidR="005965BB" w:rsidTr="007C5460">
        <w:trPr>
          <w:trHeight w:val="722"/>
        </w:trPr>
        <w:tc>
          <w:tcPr>
            <w:tcW w:w="1611" w:type="pct"/>
            <w:vMerge w:val="restart"/>
            <w:tcBorders>
              <w:right w:val="single" w:sz="6" w:space="0" w:color="auto"/>
            </w:tcBorders>
            <w:vAlign w:val="center"/>
          </w:tcPr>
          <w:p w:rsidR="005965BB" w:rsidRPr="00BC1BEB" w:rsidRDefault="005965BB" w:rsidP="007C5460">
            <w:pPr>
              <w:keepNext/>
              <w:spacing w:before="40" w:after="40"/>
            </w:pPr>
            <w:r w:rsidRPr="00BC1BEB">
              <w:t>Maximum Particle Size:</w:t>
            </w:r>
          </w:p>
        </w:tc>
        <w:tc>
          <w:tcPr>
            <w:tcW w:w="1016" w:type="pct"/>
            <w:tcBorders>
              <w:right w:val="single" w:sz="6" w:space="0" w:color="auto"/>
            </w:tcBorders>
            <w:vAlign w:val="center"/>
          </w:tcPr>
          <w:p w:rsidR="005965BB" w:rsidRPr="00711EDD" w:rsidRDefault="005965BB" w:rsidP="007C5460">
            <w:pPr>
              <w:keepNext/>
              <w:spacing w:before="40" w:after="40"/>
              <w:jc w:val="center"/>
              <w:rPr>
                <w:color w:val="723604"/>
              </w:rPr>
            </w:pPr>
            <w:r>
              <w:t>For subgrade layers</w:t>
            </w:r>
          </w:p>
        </w:tc>
        <w:tc>
          <w:tcPr>
            <w:tcW w:w="1016" w:type="pct"/>
            <w:tcBorders>
              <w:left w:val="single" w:sz="6" w:space="0" w:color="auto"/>
              <w:right w:val="single" w:sz="6" w:space="0" w:color="auto"/>
            </w:tcBorders>
            <w:vAlign w:val="center"/>
          </w:tcPr>
          <w:p w:rsidR="005965BB" w:rsidRPr="00BC1BEB" w:rsidRDefault="005965BB" w:rsidP="007C5460">
            <w:pPr>
              <w:keepNext/>
              <w:spacing w:before="40" w:after="40"/>
              <w:jc w:val="center"/>
            </w:pPr>
            <w:r w:rsidRPr="00711EDD">
              <w:rPr>
                <w:color w:val="723604"/>
              </w:rPr>
              <w:t>[enter information]</w:t>
            </w:r>
            <w:r w:rsidRPr="00BC1BEB">
              <w:t> mm</w:t>
            </w:r>
          </w:p>
        </w:tc>
        <w:tc>
          <w:tcPr>
            <w:tcW w:w="1357" w:type="pct"/>
            <w:tcBorders>
              <w:left w:val="single" w:sz="6" w:space="0" w:color="auto"/>
            </w:tcBorders>
            <w:vAlign w:val="center"/>
          </w:tcPr>
          <w:p w:rsidR="005965BB" w:rsidRDefault="005965BB" w:rsidP="007C5460">
            <w:pPr>
              <w:keepNext/>
              <w:spacing w:before="40" w:after="40"/>
              <w:jc w:val="center"/>
            </w:pPr>
            <w:r>
              <w:t>50mm</w:t>
            </w:r>
          </w:p>
          <w:p w:rsidR="005965BB" w:rsidRPr="00BC1BEB" w:rsidRDefault="005965BB" w:rsidP="007C5460">
            <w:pPr>
              <w:keepNext/>
              <w:spacing w:before="40" w:after="40"/>
              <w:jc w:val="center"/>
            </w:pPr>
          </w:p>
        </w:tc>
      </w:tr>
      <w:tr w:rsidR="005965BB" w:rsidTr="007C5460">
        <w:trPr>
          <w:trHeight w:val="642"/>
        </w:trPr>
        <w:tc>
          <w:tcPr>
            <w:tcW w:w="1611" w:type="pct"/>
            <w:vMerge/>
            <w:tcBorders>
              <w:right w:val="single" w:sz="6" w:space="0" w:color="auto"/>
            </w:tcBorders>
            <w:vAlign w:val="center"/>
          </w:tcPr>
          <w:p w:rsidR="005965BB" w:rsidRPr="00BC1BEB" w:rsidRDefault="005965BB" w:rsidP="007C5460">
            <w:pPr>
              <w:keepNext/>
              <w:spacing w:before="40" w:after="40"/>
            </w:pPr>
          </w:p>
        </w:tc>
        <w:tc>
          <w:tcPr>
            <w:tcW w:w="1016" w:type="pct"/>
            <w:tcBorders>
              <w:right w:val="single" w:sz="6" w:space="0" w:color="auto"/>
            </w:tcBorders>
            <w:vAlign w:val="center"/>
          </w:tcPr>
          <w:p w:rsidR="005965BB" w:rsidRPr="00711EDD" w:rsidRDefault="005965BB" w:rsidP="007C5460">
            <w:pPr>
              <w:keepNext/>
              <w:spacing w:before="40" w:after="40"/>
              <w:jc w:val="center"/>
              <w:rPr>
                <w:color w:val="723604"/>
              </w:rPr>
            </w:pPr>
            <w:r>
              <w:t>For other than subgrade layers</w:t>
            </w:r>
          </w:p>
        </w:tc>
        <w:tc>
          <w:tcPr>
            <w:tcW w:w="1016" w:type="pct"/>
            <w:tcBorders>
              <w:left w:val="single" w:sz="6" w:space="0" w:color="auto"/>
              <w:right w:val="single" w:sz="6" w:space="0" w:color="auto"/>
            </w:tcBorders>
            <w:vAlign w:val="center"/>
          </w:tcPr>
          <w:p w:rsidR="005965BB" w:rsidRPr="00711EDD" w:rsidRDefault="005965BB" w:rsidP="007C5460">
            <w:pPr>
              <w:keepNext/>
              <w:spacing w:before="40" w:after="40"/>
              <w:jc w:val="center"/>
              <w:rPr>
                <w:color w:val="723604"/>
              </w:rPr>
            </w:pPr>
            <w:r w:rsidRPr="00711EDD">
              <w:rPr>
                <w:color w:val="723604"/>
              </w:rPr>
              <w:t>[enter information]</w:t>
            </w:r>
            <w:r w:rsidRPr="00BC1BEB">
              <w:t> mm</w:t>
            </w:r>
          </w:p>
        </w:tc>
        <w:tc>
          <w:tcPr>
            <w:tcW w:w="1357" w:type="pct"/>
            <w:tcBorders>
              <w:left w:val="single" w:sz="6" w:space="0" w:color="auto"/>
            </w:tcBorders>
            <w:vAlign w:val="center"/>
          </w:tcPr>
          <w:p w:rsidR="005965BB" w:rsidRDefault="005965BB" w:rsidP="007C5460">
            <w:pPr>
              <w:keepNext/>
              <w:spacing w:before="40" w:after="40"/>
              <w:jc w:val="center"/>
            </w:pPr>
            <w:r w:rsidRPr="00BC1BEB">
              <w:t>100</w:t>
            </w:r>
            <w:r>
              <w:t> mm</w:t>
            </w:r>
          </w:p>
        </w:tc>
      </w:tr>
      <w:tr w:rsidR="005965BB" w:rsidTr="007C5460">
        <w:trPr>
          <w:trHeight w:val="353"/>
        </w:trPr>
        <w:tc>
          <w:tcPr>
            <w:tcW w:w="2627" w:type="pct"/>
            <w:gridSpan w:val="2"/>
            <w:tcBorders>
              <w:right w:val="single" w:sz="6" w:space="0" w:color="auto"/>
            </w:tcBorders>
            <w:vAlign w:val="center"/>
          </w:tcPr>
          <w:p w:rsidR="005965BB" w:rsidRPr="00711EDD" w:rsidRDefault="005965BB" w:rsidP="007C5460">
            <w:pPr>
              <w:spacing w:before="40" w:after="40"/>
              <w:rPr>
                <w:color w:val="723604"/>
              </w:rPr>
            </w:pPr>
            <w:r w:rsidRPr="00BC1BEB">
              <w:t>Plasticity Index:</w:t>
            </w:r>
          </w:p>
        </w:tc>
        <w:tc>
          <w:tcPr>
            <w:tcW w:w="1016" w:type="pct"/>
            <w:tcBorders>
              <w:left w:val="single" w:sz="6" w:space="0" w:color="auto"/>
              <w:right w:val="single" w:sz="6" w:space="0" w:color="auto"/>
            </w:tcBorders>
            <w:vAlign w:val="center"/>
          </w:tcPr>
          <w:p w:rsidR="005965BB" w:rsidRPr="00BC1BEB" w:rsidRDefault="005965BB" w:rsidP="007C5460">
            <w:pPr>
              <w:spacing w:before="40" w:after="40"/>
              <w:jc w:val="center"/>
            </w:pPr>
            <w:r w:rsidRPr="00711EDD">
              <w:rPr>
                <w:color w:val="723604"/>
              </w:rPr>
              <w:t>[enter information]</w:t>
            </w:r>
          </w:p>
        </w:tc>
        <w:tc>
          <w:tcPr>
            <w:tcW w:w="1357" w:type="pct"/>
            <w:tcBorders>
              <w:left w:val="single" w:sz="6" w:space="0" w:color="auto"/>
            </w:tcBorders>
            <w:vAlign w:val="center"/>
          </w:tcPr>
          <w:p w:rsidR="005965BB" w:rsidRPr="00BC1BEB" w:rsidRDefault="005965BB" w:rsidP="007C5460">
            <w:pPr>
              <w:spacing w:before="40" w:after="40"/>
              <w:jc w:val="center"/>
            </w:pPr>
            <w:r>
              <w:t>2% </w:t>
            </w:r>
            <w:r>
              <w:noBreakHyphen/>
              <w:t> 15%</w:t>
            </w:r>
          </w:p>
        </w:tc>
      </w:tr>
    </w:tbl>
    <w:p w:rsidR="005965BB" w:rsidRPr="00BC1BEB" w:rsidRDefault="005965BB" w:rsidP="005965BB">
      <w:pPr>
        <w:pStyle w:val="guidenotes"/>
        <w:rPr>
          <w:lang w:val="en-AU"/>
        </w:rPr>
      </w:pPr>
      <w:r w:rsidRPr="00BC1BEB">
        <w:rPr>
          <w:lang w:val="en-AU"/>
        </w:rPr>
        <w:t>[Determine in relation to locally available materials and proposed pavement design]</w:t>
      </w:r>
    </w:p>
    <w:p w:rsidR="005965BB" w:rsidRPr="00BC1BEB" w:rsidRDefault="005965BB" w:rsidP="005965BB">
      <w:pPr>
        <w:pStyle w:val="Heading3"/>
        <w:rPr>
          <w:lang w:val="en-AU"/>
        </w:rPr>
      </w:pPr>
      <w:bookmarkStart w:id="71" w:name="_Toc390823461"/>
      <w:bookmarkStart w:id="72" w:name="_Toc391429153"/>
      <w:bookmarkStart w:id="73" w:name="_Toc396034079"/>
      <w:bookmarkStart w:id="74" w:name="_Toc398800262"/>
      <w:r w:rsidRPr="00BC1BEB">
        <w:rPr>
          <w:lang w:val="en-AU"/>
        </w:rPr>
        <w:t>Select Fill</w:t>
      </w:r>
      <w:bookmarkEnd w:id="71"/>
      <w:bookmarkEnd w:id="72"/>
      <w:bookmarkEnd w:id="73"/>
      <w:bookmarkEnd w:id="74"/>
    </w:p>
    <w:p w:rsidR="005965BB" w:rsidRPr="00BC1BEB" w:rsidRDefault="005965BB" w:rsidP="005965BB">
      <w:pPr>
        <w:pStyle w:val="guidenotes"/>
        <w:rPr>
          <w:lang w:val="en-AU"/>
        </w:rPr>
      </w:pPr>
      <w:r w:rsidRPr="00BC1BEB">
        <w:rPr>
          <w:lang w:val="en-AU"/>
        </w:rPr>
        <w:t>[Do not delete this section without first ensuring that other sections of the Specification, such as the DRAINAGE WORKS Section are not referenced to it]</w:t>
      </w:r>
    </w:p>
    <w:p w:rsidR="005965BB" w:rsidRPr="00BC1BEB" w:rsidRDefault="005965BB" w:rsidP="005965BB">
      <w:r w:rsidRPr="00BC1BEB">
        <w:t>Select fill shall be comprised of gravel, decomposed rock or broken rock, free from organic matter and lumps of clay.</w:t>
      </w:r>
    </w:p>
    <w:p w:rsidR="005965BB" w:rsidRPr="00BC1BEB" w:rsidRDefault="005965BB" w:rsidP="005965BB">
      <w:r w:rsidRPr="00BC1BEB">
        <w:t>Conform to the following:</w:t>
      </w:r>
    </w:p>
    <w:tbl>
      <w:tblPr>
        <w:tblW w:w="5000" w:type="pct"/>
        <w:tblBorders>
          <w:top w:val="single" w:sz="6" w:space="0" w:color="auto"/>
          <w:left w:val="single" w:sz="6" w:space="0" w:color="auto"/>
          <w:bottom w:val="single" w:sz="6" w:space="0" w:color="auto"/>
          <w:right w:val="single" w:sz="6" w:space="0" w:color="auto"/>
          <w:insideH w:val="single" w:sz="6" w:space="0" w:color="auto"/>
        </w:tblBorders>
        <w:tblCellMar>
          <w:left w:w="107" w:type="dxa"/>
          <w:right w:w="107" w:type="dxa"/>
        </w:tblCellMar>
        <w:tblLook w:val="0000" w:firstRow="0" w:lastRow="0" w:firstColumn="0" w:lastColumn="0" w:noHBand="0" w:noVBand="0"/>
      </w:tblPr>
      <w:tblGrid>
        <w:gridCol w:w="5151"/>
        <w:gridCol w:w="5151"/>
      </w:tblGrid>
      <w:tr w:rsidR="005965BB" w:rsidTr="007C5460">
        <w:trPr>
          <w:cantSplit/>
          <w:trHeight w:val="264"/>
          <w:tblHeader/>
        </w:trPr>
        <w:tc>
          <w:tcPr>
            <w:tcW w:w="5000" w:type="pct"/>
            <w:gridSpan w:val="2"/>
            <w:tcBorders>
              <w:bottom w:val="single" w:sz="6" w:space="0" w:color="auto"/>
            </w:tcBorders>
          </w:tcPr>
          <w:p w:rsidR="005965BB" w:rsidRPr="00E16CFA" w:rsidRDefault="005965BB" w:rsidP="007C5460">
            <w:pPr>
              <w:spacing w:before="40" w:after="40"/>
              <w:rPr>
                <w:b/>
              </w:rPr>
            </w:pPr>
            <w:r w:rsidRPr="00E16CFA">
              <w:rPr>
                <w:b/>
              </w:rPr>
              <w:t>Table - Grading - Select fill</w:t>
            </w:r>
          </w:p>
        </w:tc>
      </w:tr>
      <w:tr w:rsidR="005965BB" w:rsidTr="007C5460">
        <w:trPr>
          <w:cantSplit/>
          <w:trHeight w:val="248"/>
          <w:tblHeader/>
        </w:trPr>
        <w:tc>
          <w:tcPr>
            <w:tcW w:w="2500" w:type="pct"/>
            <w:tcBorders>
              <w:right w:val="single" w:sz="6" w:space="0" w:color="auto"/>
            </w:tcBorders>
            <w:vAlign w:val="center"/>
          </w:tcPr>
          <w:p w:rsidR="005965BB" w:rsidRPr="00E16CFA" w:rsidRDefault="005965BB" w:rsidP="007C5460">
            <w:pPr>
              <w:spacing w:before="40" w:after="40"/>
              <w:jc w:val="center"/>
              <w:rPr>
                <w:b/>
              </w:rPr>
            </w:pPr>
            <w:r w:rsidRPr="00E16CFA">
              <w:rPr>
                <w:b/>
              </w:rPr>
              <w:t>AS SIEVE (mm)</w:t>
            </w:r>
          </w:p>
        </w:tc>
        <w:tc>
          <w:tcPr>
            <w:tcW w:w="2500" w:type="pct"/>
            <w:tcBorders>
              <w:left w:val="single" w:sz="6" w:space="0" w:color="auto"/>
            </w:tcBorders>
            <w:vAlign w:val="center"/>
          </w:tcPr>
          <w:p w:rsidR="005965BB" w:rsidRPr="00E16CFA" w:rsidRDefault="005965BB" w:rsidP="007C5460">
            <w:pPr>
              <w:spacing w:before="40" w:after="40"/>
              <w:jc w:val="center"/>
              <w:rPr>
                <w:b/>
              </w:rPr>
            </w:pPr>
            <w:r w:rsidRPr="00E16CFA">
              <w:rPr>
                <w:b/>
              </w:rPr>
              <w:t>% PASSING (DRY WEIGHT)</w:t>
            </w:r>
          </w:p>
        </w:tc>
      </w:tr>
      <w:tr w:rsidR="005965BB" w:rsidTr="007C5460">
        <w:trPr>
          <w:cantSplit/>
          <w:trHeight w:val="248"/>
        </w:trPr>
        <w:tc>
          <w:tcPr>
            <w:tcW w:w="2500" w:type="pct"/>
            <w:tcBorders>
              <w:right w:val="single" w:sz="6" w:space="0" w:color="auto"/>
            </w:tcBorders>
            <w:vAlign w:val="center"/>
          </w:tcPr>
          <w:p w:rsidR="005965BB" w:rsidRPr="00BC1BEB" w:rsidRDefault="005965BB" w:rsidP="007C5460">
            <w:pPr>
              <w:spacing w:before="40" w:after="40"/>
              <w:jc w:val="center"/>
            </w:pPr>
            <w:r w:rsidRPr="00BC1BEB">
              <w:t>75.00</w:t>
            </w:r>
          </w:p>
        </w:tc>
        <w:tc>
          <w:tcPr>
            <w:tcW w:w="2500" w:type="pct"/>
            <w:tcBorders>
              <w:left w:val="single" w:sz="6" w:space="0" w:color="auto"/>
            </w:tcBorders>
            <w:vAlign w:val="center"/>
          </w:tcPr>
          <w:p w:rsidR="005965BB" w:rsidRPr="00BC1BEB" w:rsidRDefault="005965BB" w:rsidP="007C5460">
            <w:pPr>
              <w:spacing w:before="40" w:after="40"/>
              <w:jc w:val="center"/>
            </w:pPr>
            <w:r w:rsidRPr="00BC1BEB">
              <w:t>100</w:t>
            </w:r>
          </w:p>
        </w:tc>
      </w:tr>
      <w:tr w:rsidR="005965BB" w:rsidTr="007C5460">
        <w:trPr>
          <w:cantSplit/>
          <w:trHeight w:val="264"/>
        </w:trPr>
        <w:tc>
          <w:tcPr>
            <w:tcW w:w="2500" w:type="pct"/>
            <w:tcBorders>
              <w:right w:val="single" w:sz="6" w:space="0" w:color="auto"/>
            </w:tcBorders>
            <w:vAlign w:val="center"/>
          </w:tcPr>
          <w:p w:rsidR="005965BB" w:rsidRPr="00BC1BEB" w:rsidRDefault="005965BB" w:rsidP="007C5460">
            <w:pPr>
              <w:spacing w:before="40" w:after="40"/>
              <w:jc w:val="center"/>
            </w:pPr>
            <w:r w:rsidRPr="00BC1BEB">
              <w:t>9.50</w:t>
            </w:r>
          </w:p>
        </w:tc>
        <w:tc>
          <w:tcPr>
            <w:tcW w:w="2500" w:type="pct"/>
            <w:tcBorders>
              <w:left w:val="single" w:sz="6" w:space="0" w:color="auto"/>
            </w:tcBorders>
            <w:vAlign w:val="center"/>
          </w:tcPr>
          <w:p w:rsidR="005965BB" w:rsidRPr="00BC1BEB" w:rsidRDefault="005965BB" w:rsidP="007C5460">
            <w:pPr>
              <w:spacing w:before="40" w:after="40"/>
              <w:jc w:val="center"/>
            </w:pPr>
            <w:r w:rsidRPr="00BC1BEB">
              <w:t>30 </w:t>
            </w:r>
            <w:r w:rsidRPr="00BC1BEB">
              <w:noBreakHyphen/>
              <w:t> 100</w:t>
            </w:r>
          </w:p>
        </w:tc>
      </w:tr>
      <w:tr w:rsidR="005965BB" w:rsidTr="007C5460">
        <w:trPr>
          <w:cantSplit/>
          <w:trHeight w:val="248"/>
        </w:trPr>
        <w:tc>
          <w:tcPr>
            <w:tcW w:w="2500" w:type="pct"/>
            <w:tcBorders>
              <w:right w:val="single" w:sz="6" w:space="0" w:color="auto"/>
            </w:tcBorders>
            <w:vAlign w:val="center"/>
          </w:tcPr>
          <w:p w:rsidR="005965BB" w:rsidRPr="00BC1BEB" w:rsidRDefault="005965BB" w:rsidP="007C5460">
            <w:pPr>
              <w:spacing w:before="40" w:after="40"/>
              <w:jc w:val="center"/>
            </w:pPr>
            <w:r w:rsidRPr="00BC1BEB">
              <w:t>2.36</w:t>
            </w:r>
          </w:p>
        </w:tc>
        <w:tc>
          <w:tcPr>
            <w:tcW w:w="2500" w:type="pct"/>
            <w:tcBorders>
              <w:left w:val="single" w:sz="6" w:space="0" w:color="auto"/>
            </w:tcBorders>
            <w:vAlign w:val="center"/>
          </w:tcPr>
          <w:p w:rsidR="005965BB" w:rsidRPr="00BC1BEB" w:rsidRDefault="005965BB" w:rsidP="007C5460">
            <w:pPr>
              <w:spacing w:before="40" w:after="40"/>
              <w:jc w:val="center"/>
            </w:pPr>
            <w:r w:rsidRPr="00BC1BEB">
              <w:t>15 </w:t>
            </w:r>
            <w:r w:rsidRPr="00BC1BEB">
              <w:noBreakHyphen/>
              <w:t> 65</w:t>
            </w:r>
          </w:p>
        </w:tc>
      </w:tr>
      <w:tr w:rsidR="005965BB" w:rsidTr="007C5460">
        <w:trPr>
          <w:cantSplit/>
          <w:trHeight w:val="248"/>
        </w:trPr>
        <w:tc>
          <w:tcPr>
            <w:tcW w:w="2500" w:type="pct"/>
            <w:tcBorders>
              <w:right w:val="single" w:sz="6" w:space="0" w:color="auto"/>
            </w:tcBorders>
            <w:vAlign w:val="center"/>
          </w:tcPr>
          <w:p w:rsidR="005965BB" w:rsidRPr="00BC1BEB" w:rsidRDefault="005965BB" w:rsidP="007C5460">
            <w:pPr>
              <w:spacing w:before="40" w:after="40"/>
              <w:jc w:val="center"/>
            </w:pPr>
            <w:r w:rsidRPr="00BC1BEB">
              <w:t>0.075</w:t>
            </w:r>
          </w:p>
        </w:tc>
        <w:tc>
          <w:tcPr>
            <w:tcW w:w="2500" w:type="pct"/>
            <w:tcBorders>
              <w:left w:val="single" w:sz="6" w:space="0" w:color="auto"/>
            </w:tcBorders>
            <w:vAlign w:val="center"/>
          </w:tcPr>
          <w:p w:rsidR="005965BB" w:rsidRPr="00BC1BEB" w:rsidRDefault="005965BB" w:rsidP="007C5460">
            <w:pPr>
              <w:spacing w:before="40" w:after="40"/>
              <w:jc w:val="center"/>
            </w:pPr>
            <w:r w:rsidRPr="00BC1BEB">
              <w:t>5 </w:t>
            </w:r>
            <w:r w:rsidRPr="00BC1BEB">
              <w:noBreakHyphen/>
              <w:t> 25</w:t>
            </w:r>
          </w:p>
        </w:tc>
      </w:tr>
    </w:tbl>
    <w:p w:rsidR="005965BB" w:rsidRDefault="005965BB" w:rsidP="005965BB">
      <w:pPr>
        <w:pStyle w:val="BoldCapital"/>
        <w:rPr>
          <w:b w:val="0"/>
          <w:lang w:val="en-A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8"/>
        <w:gridCol w:w="4764"/>
      </w:tblGrid>
      <w:tr w:rsidR="005965BB" w:rsidTr="007C5460">
        <w:trPr>
          <w:cantSplit/>
          <w:trHeight w:val="328"/>
        </w:trPr>
        <w:tc>
          <w:tcPr>
            <w:tcW w:w="5000" w:type="pct"/>
            <w:gridSpan w:val="2"/>
            <w:tcBorders>
              <w:top w:val="single" w:sz="2" w:space="0" w:color="auto"/>
              <w:left w:val="single" w:sz="2" w:space="0" w:color="auto"/>
              <w:bottom w:val="single" w:sz="2" w:space="0" w:color="auto"/>
              <w:right w:val="single" w:sz="2" w:space="0" w:color="auto"/>
            </w:tcBorders>
            <w:shd w:val="clear" w:color="auto" w:fill="auto"/>
            <w:vAlign w:val="center"/>
          </w:tcPr>
          <w:p w:rsidR="005965BB" w:rsidRPr="00E16CFA" w:rsidRDefault="005965BB" w:rsidP="007C5460">
            <w:pPr>
              <w:spacing w:before="40" w:after="40"/>
              <w:rPr>
                <w:b/>
              </w:rPr>
            </w:pPr>
            <w:r w:rsidRPr="00E16CFA">
              <w:rPr>
                <w:b/>
              </w:rPr>
              <w:t>Table – Select Fill Properties</w:t>
            </w:r>
          </w:p>
        </w:tc>
      </w:tr>
      <w:tr w:rsidR="005965BB" w:rsidTr="007C5460">
        <w:trPr>
          <w:cantSplit/>
          <w:trHeight w:val="383"/>
        </w:trPr>
        <w:tc>
          <w:tcPr>
            <w:tcW w:w="2690" w:type="pct"/>
            <w:tcBorders>
              <w:top w:val="single" w:sz="2" w:space="0" w:color="auto"/>
              <w:left w:val="single" w:sz="2" w:space="0" w:color="auto"/>
              <w:bottom w:val="single" w:sz="2" w:space="0" w:color="auto"/>
              <w:right w:val="single" w:sz="2" w:space="0" w:color="auto"/>
            </w:tcBorders>
            <w:shd w:val="clear" w:color="auto" w:fill="auto"/>
            <w:vAlign w:val="center"/>
          </w:tcPr>
          <w:p w:rsidR="005965BB" w:rsidRPr="00A04DD3" w:rsidRDefault="005965BB" w:rsidP="007C5460">
            <w:pPr>
              <w:spacing w:before="40" w:after="40"/>
            </w:pPr>
            <w:r w:rsidRPr="00BC1BEB">
              <w:t>CBR, 4 day soaked</w:t>
            </w:r>
            <w:r>
              <w:t xml:space="preserve"> </w:t>
            </w:r>
            <w:r w:rsidRPr="00BC1BEB">
              <w:t xml:space="preserve">at 95% MMDD </w:t>
            </w:r>
            <w:r>
              <w:t>to AS 1289</w:t>
            </w:r>
            <w:r w:rsidRPr="00BC1BEB">
              <w:t>:</w:t>
            </w:r>
          </w:p>
        </w:tc>
        <w:tc>
          <w:tcPr>
            <w:tcW w:w="2310" w:type="pct"/>
            <w:tcBorders>
              <w:top w:val="single" w:sz="2" w:space="0" w:color="auto"/>
              <w:left w:val="single" w:sz="2" w:space="0" w:color="auto"/>
              <w:bottom w:val="single" w:sz="2" w:space="0" w:color="auto"/>
              <w:right w:val="single" w:sz="2" w:space="0" w:color="auto"/>
            </w:tcBorders>
            <w:shd w:val="clear" w:color="auto" w:fill="auto"/>
            <w:vAlign w:val="center"/>
          </w:tcPr>
          <w:p w:rsidR="005965BB" w:rsidRPr="00A04DD3" w:rsidRDefault="005965BB" w:rsidP="007C5460">
            <w:pPr>
              <w:spacing w:before="40" w:after="40"/>
            </w:pPr>
            <w:r w:rsidRPr="00BC1BEB">
              <w:t>30 minimum.</w:t>
            </w:r>
          </w:p>
        </w:tc>
      </w:tr>
      <w:tr w:rsidR="005965BB" w:rsidTr="007C5460">
        <w:trPr>
          <w:cantSplit/>
          <w:trHeight w:val="305"/>
        </w:trPr>
        <w:tc>
          <w:tcPr>
            <w:tcW w:w="2690" w:type="pct"/>
            <w:tcBorders>
              <w:top w:val="single" w:sz="2" w:space="0" w:color="auto"/>
              <w:left w:val="single" w:sz="2" w:space="0" w:color="auto"/>
              <w:bottom w:val="single" w:sz="2" w:space="0" w:color="auto"/>
              <w:right w:val="single" w:sz="2" w:space="0" w:color="auto"/>
            </w:tcBorders>
            <w:shd w:val="clear" w:color="auto" w:fill="auto"/>
            <w:vAlign w:val="center"/>
          </w:tcPr>
          <w:p w:rsidR="005965BB" w:rsidRPr="00A04DD3" w:rsidRDefault="005965BB" w:rsidP="007C5460">
            <w:pPr>
              <w:spacing w:before="40" w:after="40"/>
            </w:pPr>
            <w:r>
              <w:t>Plasticity Index:</w:t>
            </w:r>
          </w:p>
        </w:tc>
        <w:tc>
          <w:tcPr>
            <w:tcW w:w="2310" w:type="pct"/>
            <w:tcBorders>
              <w:top w:val="single" w:sz="2" w:space="0" w:color="auto"/>
              <w:left w:val="single" w:sz="2" w:space="0" w:color="auto"/>
              <w:bottom w:val="single" w:sz="2" w:space="0" w:color="auto"/>
              <w:right w:val="single" w:sz="2" w:space="0" w:color="auto"/>
            </w:tcBorders>
            <w:shd w:val="clear" w:color="auto" w:fill="auto"/>
            <w:vAlign w:val="center"/>
          </w:tcPr>
          <w:p w:rsidR="005965BB" w:rsidRPr="00A04DD3" w:rsidRDefault="005965BB" w:rsidP="007C5460">
            <w:pPr>
              <w:spacing w:before="40" w:after="40"/>
            </w:pPr>
            <w:r w:rsidRPr="00BC1BEB">
              <w:t>2 </w:t>
            </w:r>
            <w:r w:rsidRPr="00BC1BEB">
              <w:noBreakHyphen/>
              <w:t> 15%</w:t>
            </w:r>
            <w:r>
              <w:t xml:space="preserve"> </w:t>
            </w:r>
            <w:r w:rsidRPr="00BC1BEB">
              <w:t>maximum.</w:t>
            </w:r>
          </w:p>
        </w:tc>
      </w:tr>
      <w:tr w:rsidR="005965BB" w:rsidTr="007C5460">
        <w:trPr>
          <w:cantSplit/>
          <w:trHeight w:val="328"/>
        </w:trPr>
        <w:tc>
          <w:tcPr>
            <w:tcW w:w="2690" w:type="pct"/>
            <w:tcBorders>
              <w:top w:val="single" w:sz="2" w:space="0" w:color="auto"/>
              <w:left w:val="single" w:sz="2" w:space="0" w:color="auto"/>
              <w:bottom w:val="single" w:sz="2" w:space="0" w:color="auto"/>
              <w:right w:val="single" w:sz="2" w:space="0" w:color="auto"/>
            </w:tcBorders>
            <w:shd w:val="clear" w:color="auto" w:fill="auto"/>
            <w:vAlign w:val="center"/>
          </w:tcPr>
          <w:p w:rsidR="005965BB" w:rsidRPr="00A04DD3" w:rsidRDefault="005965BB" w:rsidP="007C5460">
            <w:pPr>
              <w:spacing w:before="40" w:after="40"/>
            </w:pPr>
            <w:r>
              <w:t>Linear Shrinkage:</w:t>
            </w:r>
          </w:p>
        </w:tc>
        <w:tc>
          <w:tcPr>
            <w:tcW w:w="2310" w:type="pct"/>
            <w:tcBorders>
              <w:top w:val="single" w:sz="2" w:space="0" w:color="auto"/>
              <w:left w:val="single" w:sz="2" w:space="0" w:color="auto"/>
              <w:bottom w:val="single" w:sz="2" w:space="0" w:color="auto"/>
              <w:right w:val="single" w:sz="2" w:space="0" w:color="auto"/>
            </w:tcBorders>
            <w:shd w:val="clear" w:color="auto" w:fill="auto"/>
            <w:vAlign w:val="center"/>
          </w:tcPr>
          <w:p w:rsidR="005965BB" w:rsidRPr="00A04DD3" w:rsidRDefault="005965BB" w:rsidP="007C5460">
            <w:pPr>
              <w:spacing w:before="40" w:after="40"/>
            </w:pPr>
            <w:r w:rsidRPr="00BC1BEB">
              <w:t>2 </w:t>
            </w:r>
            <w:r w:rsidRPr="00BC1BEB">
              <w:noBreakHyphen/>
              <w:t> 6%.</w:t>
            </w:r>
          </w:p>
        </w:tc>
      </w:tr>
    </w:tbl>
    <w:p w:rsidR="005965BB" w:rsidRDefault="005965BB" w:rsidP="005965BB">
      <w:pPr>
        <w:pStyle w:val="BoldCapital"/>
        <w:rPr>
          <w:b w:val="0"/>
          <w:lang w:val="en-AU"/>
        </w:rPr>
      </w:pPr>
    </w:p>
    <w:p w:rsidR="005965BB" w:rsidRPr="00BC1BEB" w:rsidRDefault="005965BB" w:rsidP="005965BB">
      <w:pPr>
        <w:pStyle w:val="Heading3"/>
        <w:rPr>
          <w:lang w:val="en-AU"/>
        </w:rPr>
      </w:pPr>
      <w:bookmarkStart w:id="75" w:name="_Toc390823462"/>
      <w:bookmarkStart w:id="76" w:name="_Toc391429154"/>
      <w:bookmarkStart w:id="77" w:name="_Toc396034080"/>
      <w:bookmarkStart w:id="78" w:name="_Toc398800263"/>
      <w:r w:rsidRPr="00BC1BEB">
        <w:rPr>
          <w:lang w:val="en-AU"/>
        </w:rPr>
        <w:t>Sand Clay Fill</w:t>
      </w:r>
      <w:bookmarkEnd w:id="75"/>
      <w:bookmarkEnd w:id="76"/>
      <w:bookmarkEnd w:id="77"/>
      <w:bookmarkEnd w:id="78"/>
    </w:p>
    <w:p w:rsidR="005965BB" w:rsidRPr="00BC1BEB" w:rsidRDefault="005965BB" w:rsidP="005965BB">
      <w:pPr>
        <w:pStyle w:val="guidenotes"/>
        <w:rPr>
          <w:lang w:val="en-AU"/>
        </w:rPr>
      </w:pPr>
      <w:r w:rsidRPr="00BC1BEB">
        <w:rPr>
          <w:lang w:val="en-AU"/>
        </w:rPr>
        <w:t>[Delete subsection if it is not a permissible alternative]</w:t>
      </w:r>
    </w:p>
    <w:p w:rsidR="005965BB" w:rsidRPr="00BC1BEB" w:rsidRDefault="005965BB" w:rsidP="005965BB">
      <w:r w:rsidRPr="00BC1BEB">
        <w:t>Sand clay (clayey sand) may be used as an alternative to Select Fill.</w:t>
      </w:r>
    </w:p>
    <w:p w:rsidR="005965BB" w:rsidRDefault="005965BB" w:rsidP="005965BB">
      <w:r>
        <w:t>Must be free of organic matter and c</w:t>
      </w:r>
      <w:r w:rsidRPr="00BC1BEB">
        <w:t>onform to the following</w:t>
      </w:r>
      <w:r>
        <w:t xml:space="preserve"> properties and grading</w:t>
      </w:r>
      <w:r w:rsidRPr="00BC1BEB">
        <w:t>:</w:t>
      </w:r>
    </w:p>
    <w:p w:rsidR="005965BB" w:rsidRDefault="005965BB" w:rsidP="005965BB">
      <w:pPr>
        <w:pStyle w:val="Body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8"/>
        <w:gridCol w:w="4764"/>
      </w:tblGrid>
      <w:tr w:rsidR="005965BB" w:rsidTr="007C5460">
        <w:trPr>
          <w:cantSplit/>
          <w:trHeight w:val="296"/>
        </w:trPr>
        <w:tc>
          <w:tcPr>
            <w:tcW w:w="5000" w:type="pct"/>
            <w:gridSpan w:val="2"/>
            <w:tcBorders>
              <w:top w:val="single" w:sz="2" w:space="0" w:color="auto"/>
              <w:left w:val="single" w:sz="2" w:space="0" w:color="auto"/>
              <w:bottom w:val="single" w:sz="2" w:space="0" w:color="auto"/>
              <w:right w:val="single" w:sz="2" w:space="0" w:color="auto"/>
            </w:tcBorders>
            <w:shd w:val="clear" w:color="auto" w:fill="auto"/>
            <w:vAlign w:val="center"/>
          </w:tcPr>
          <w:p w:rsidR="005965BB" w:rsidRPr="00E16CFA" w:rsidRDefault="005965BB" w:rsidP="007C5460">
            <w:pPr>
              <w:spacing w:before="40" w:after="40"/>
              <w:rPr>
                <w:b/>
              </w:rPr>
            </w:pPr>
            <w:r w:rsidRPr="00E16CFA">
              <w:rPr>
                <w:b/>
              </w:rPr>
              <w:t>Table</w:t>
            </w:r>
            <w:r>
              <w:rPr>
                <w:b/>
              </w:rPr>
              <w:t xml:space="preserve"> </w:t>
            </w:r>
            <w:r w:rsidRPr="00E16CFA">
              <w:rPr>
                <w:b/>
              </w:rPr>
              <w:t>– Sand Clay Fill Properties</w:t>
            </w:r>
          </w:p>
        </w:tc>
      </w:tr>
      <w:tr w:rsidR="005965BB" w:rsidTr="007C5460">
        <w:trPr>
          <w:cantSplit/>
          <w:trHeight w:val="408"/>
        </w:trPr>
        <w:tc>
          <w:tcPr>
            <w:tcW w:w="2690" w:type="pct"/>
            <w:tcBorders>
              <w:top w:val="single" w:sz="2" w:space="0" w:color="auto"/>
              <w:left w:val="single" w:sz="2" w:space="0" w:color="auto"/>
              <w:bottom w:val="single" w:sz="2" w:space="0" w:color="auto"/>
              <w:right w:val="single" w:sz="2" w:space="0" w:color="auto"/>
            </w:tcBorders>
            <w:shd w:val="clear" w:color="auto" w:fill="auto"/>
            <w:vAlign w:val="center"/>
          </w:tcPr>
          <w:p w:rsidR="005965BB" w:rsidRDefault="005965BB" w:rsidP="007C5460">
            <w:pPr>
              <w:spacing w:before="40" w:after="40"/>
            </w:pPr>
            <w:r>
              <w:t>CBR:</w:t>
            </w:r>
            <w:r w:rsidRPr="00BC1BEB">
              <w:t xml:space="preserve"> 4 day soaked and 95% MMDD </w:t>
            </w:r>
            <w:r>
              <w:t>to AS 1289:</w:t>
            </w:r>
          </w:p>
        </w:tc>
        <w:tc>
          <w:tcPr>
            <w:tcW w:w="2310" w:type="pct"/>
            <w:tcBorders>
              <w:top w:val="single" w:sz="2" w:space="0" w:color="auto"/>
              <w:left w:val="single" w:sz="2" w:space="0" w:color="auto"/>
              <w:bottom w:val="single" w:sz="2" w:space="0" w:color="auto"/>
              <w:right w:val="single" w:sz="2" w:space="0" w:color="auto"/>
            </w:tcBorders>
            <w:shd w:val="clear" w:color="auto" w:fill="auto"/>
            <w:vAlign w:val="center"/>
          </w:tcPr>
          <w:p w:rsidR="005965BB" w:rsidRDefault="005965BB" w:rsidP="007C5460">
            <w:pPr>
              <w:spacing w:before="40" w:after="40"/>
            </w:pPr>
            <w:r w:rsidRPr="00BC1BEB">
              <w:t>30 minimum</w:t>
            </w:r>
          </w:p>
        </w:tc>
      </w:tr>
      <w:tr w:rsidR="005965BB" w:rsidTr="007C5460">
        <w:trPr>
          <w:cantSplit/>
          <w:trHeight w:val="317"/>
        </w:trPr>
        <w:tc>
          <w:tcPr>
            <w:tcW w:w="2690" w:type="pct"/>
            <w:tcBorders>
              <w:top w:val="single" w:sz="2" w:space="0" w:color="auto"/>
              <w:left w:val="single" w:sz="2" w:space="0" w:color="auto"/>
              <w:bottom w:val="single" w:sz="2" w:space="0" w:color="auto"/>
              <w:right w:val="single" w:sz="2" w:space="0" w:color="auto"/>
            </w:tcBorders>
            <w:shd w:val="clear" w:color="auto" w:fill="auto"/>
            <w:vAlign w:val="center"/>
          </w:tcPr>
          <w:p w:rsidR="005965BB" w:rsidRDefault="005965BB" w:rsidP="007C5460">
            <w:pPr>
              <w:spacing w:before="40" w:after="40"/>
            </w:pPr>
            <w:r>
              <w:t>Plasticity Index</w:t>
            </w:r>
          </w:p>
        </w:tc>
        <w:tc>
          <w:tcPr>
            <w:tcW w:w="2310" w:type="pct"/>
            <w:tcBorders>
              <w:top w:val="single" w:sz="2" w:space="0" w:color="auto"/>
              <w:left w:val="single" w:sz="2" w:space="0" w:color="auto"/>
              <w:bottom w:val="single" w:sz="2" w:space="0" w:color="auto"/>
              <w:right w:val="single" w:sz="2" w:space="0" w:color="auto"/>
            </w:tcBorders>
            <w:shd w:val="clear" w:color="auto" w:fill="auto"/>
            <w:vAlign w:val="center"/>
          </w:tcPr>
          <w:p w:rsidR="005965BB" w:rsidRDefault="005965BB" w:rsidP="007C5460">
            <w:pPr>
              <w:spacing w:before="40" w:after="40"/>
            </w:pPr>
            <w:r w:rsidRPr="00BC1BEB">
              <w:t>15% maximum</w:t>
            </w:r>
          </w:p>
        </w:tc>
      </w:tr>
      <w:tr w:rsidR="005965BB" w:rsidTr="007C5460">
        <w:trPr>
          <w:cantSplit/>
          <w:trHeight w:val="317"/>
        </w:trPr>
        <w:tc>
          <w:tcPr>
            <w:tcW w:w="2690" w:type="pct"/>
            <w:tcBorders>
              <w:top w:val="single" w:sz="2" w:space="0" w:color="auto"/>
              <w:left w:val="single" w:sz="2" w:space="0" w:color="auto"/>
              <w:bottom w:val="single" w:sz="2" w:space="0" w:color="auto"/>
              <w:right w:val="single" w:sz="2" w:space="0" w:color="auto"/>
            </w:tcBorders>
            <w:shd w:val="clear" w:color="auto" w:fill="auto"/>
            <w:vAlign w:val="center"/>
          </w:tcPr>
          <w:p w:rsidR="005965BB" w:rsidRDefault="005965BB" w:rsidP="007C5460">
            <w:pPr>
              <w:spacing w:before="40" w:after="40"/>
            </w:pPr>
            <w:r>
              <w:t>Linear Shrinkage</w:t>
            </w:r>
          </w:p>
        </w:tc>
        <w:tc>
          <w:tcPr>
            <w:tcW w:w="2310" w:type="pct"/>
            <w:tcBorders>
              <w:top w:val="single" w:sz="2" w:space="0" w:color="auto"/>
              <w:left w:val="single" w:sz="2" w:space="0" w:color="auto"/>
              <w:bottom w:val="single" w:sz="2" w:space="0" w:color="auto"/>
              <w:right w:val="single" w:sz="2" w:space="0" w:color="auto"/>
            </w:tcBorders>
            <w:shd w:val="clear" w:color="auto" w:fill="auto"/>
            <w:vAlign w:val="center"/>
          </w:tcPr>
          <w:p w:rsidR="005965BB" w:rsidRDefault="005965BB" w:rsidP="007C5460">
            <w:pPr>
              <w:spacing w:before="40" w:after="40"/>
            </w:pPr>
            <w:r w:rsidRPr="00BC1BEB">
              <w:t>1 </w:t>
            </w:r>
            <w:r w:rsidRPr="00BC1BEB">
              <w:noBreakHyphen/>
              <w:t> 8%</w:t>
            </w:r>
          </w:p>
        </w:tc>
      </w:tr>
    </w:tbl>
    <w:p w:rsidR="005965BB" w:rsidRDefault="005965BB" w:rsidP="005965BB">
      <w:pPr>
        <w:pStyle w:val="BodyText"/>
      </w:pPr>
    </w:p>
    <w:tbl>
      <w:tblPr>
        <w:tblW w:w="0" w:type="auto"/>
        <w:tblBorders>
          <w:top w:val="single" w:sz="2" w:space="0" w:color="auto"/>
          <w:left w:val="single" w:sz="2" w:space="0" w:color="auto"/>
          <w:bottom w:val="single" w:sz="2" w:space="0" w:color="auto"/>
          <w:right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4379"/>
        <w:gridCol w:w="4380"/>
      </w:tblGrid>
      <w:tr w:rsidR="005965BB" w:rsidTr="007C5460">
        <w:trPr>
          <w:cantSplit/>
          <w:trHeight w:val="308"/>
        </w:trPr>
        <w:tc>
          <w:tcPr>
            <w:tcW w:w="8758" w:type="dxa"/>
            <w:gridSpan w:val="2"/>
            <w:vAlign w:val="center"/>
          </w:tcPr>
          <w:p w:rsidR="005965BB" w:rsidRPr="00E16CFA" w:rsidRDefault="005965BB" w:rsidP="007C5460">
            <w:pPr>
              <w:keepNext/>
              <w:spacing w:after="0"/>
              <w:ind w:left="79"/>
              <w:rPr>
                <w:b/>
              </w:rPr>
            </w:pPr>
            <w:r w:rsidRPr="00E16CFA">
              <w:rPr>
                <w:b/>
              </w:rPr>
              <w:lastRenderedPageBreak/>
              <w:t>Table</w:t>
            </w:r>
            <w:r>
              <w:rPr>
                <w:b/>
              </w:rPr>
              <w:t xml:space="preserve"> </w:t>
            </w:r>
            <w:r w:rsidRPr="00E16CFA">
              <w:rPr>
                <w:b/>
              </w:rPr>
              <w:t>– Grading – Sand Clay Fill</w:t>
            </w:r>
          </w:p>
        </w:tc>
      </w:tr>
      <w:tr w:rsidR="005965BB" w:rsidTr="007C5460">
        <w:trPr>
          <w:cantSplit/>
          <w:trHeight w:val="308"/>
        </w:trPr>
        <w:tc>
          <w:tcPr>
            <w:tcW w:w="4379" w:type="dxa"/>
            <w:tcBorders>
              <w:right w:val="single" w:sz="2" w:space="0" w:color="auto"/>
            </w:tcBorders>
            <w:vAlign w:val="center"/>
          </w:tcPr>
          <w:p w:rsidR="005965BB" w:rsidRPr="00DD7C75" w:rsidRDefault="005965BB" w:rsidP="007C5460">
            <w:pPr>
              <w:pStyle w:val="TStyle"/>
              <w:keepNext/>
              <w:keepLines/>
              <w:spacing w:after="0"/>
              <w:jc w:val="center"/>
              <w:rPr>
                <w:b/>
              </w:rPr>
            </w:pPr>
            <w:r>
              <w:rPr>
                <w:b/>
              </w:rPr>
              <w:t>AS Sieve (m</w:t>
            </w:r>
            <w:r w:rsidRPr="00DD7C75">
              <w:rPr>
                <w:b/>
              </w:rPr>
              <w:t>m)</w:t>
            </w:r>
          </w:p>
        </w:tc>
        <w:tc>
          <w:tcPr>
            <w:tcW w:w="4380" w:type="dxa"/>
            <w:tcBorders>
              <w:left w:val="single" w:sz="2" w:space="0" w:color="auto"/>
            </w:tcBorders>
            <w:vAlign w:val="center"/>
          </w:tcPr>
          <w:p w:rsidR="005965BB" w:rsidRPr="00DD7C75" w:rsidRDefault="005965BB" w:rsidP="007C5460">
            <w:pPr>
              <w:pStyle w:val="TStyle"/>
              <w:keepNext/>
              <w:keepLines/>
              <w:spacing w:after="0"/>
              <w:jc w:val="center"/>
              <w:rPr>
                <w:b/>
              </w:rPr>
            </w:pPr>
            <w:r w:rsidRPr="00DD7C75">
              <w:rPr>
                <w:b/>
              </w:rPr>
              <w:t>% Passing (Dry Weight)</w:t>
            </w:r>
          </w:p>
        </w:tc>
      </w:tr>
      <w:tr w:rsidR="005965BB" w:rsidTr="007C5460">
        <w:trPr>
          <w:cantSplit/>
          <w:trHeight w:val="288"/>
        </w:trPr>
        <w:tc>
          <w:tcPr>
            <w:tcW w:w="4379" w:type="dxa"/>
            <w:tcBorders>
              <w:right w:val="single" w:sz="2" w:space="0" w:color="auto"/>
            </w:tcBorders>
            <w:vAlign w:val="center"/>
          </w:tcPr>
          <w:p w:rsidR="005965BB" w:rsidRPr="00BC1BEB" w:rsidRDefault="005965BB" w:rsidP="007C5460">
            <w:pPr>
              <w:pStyle w:val="TStyle"/>
              <w:keepNext/>
              <w:keepLines/>
              <w:spacing w:after="0"/>
              <w:jc w:val="center"/>
            </w:pPr>
            <w:r w:rsidRPr="00BC1BEB">
              <w:t>4.75</w:t>
            </w:r>
          </w:p>
        </w:tc>
        <w:tc>
          <w:tcPr>
            <w:tcW w:w="4380" w:type="dxa"/>
            <w:tcBorders>
              <w:left w:val="single" w:sz="2" w:space="0" w:color="auto"/>
            </w:tcBorders>
            <w:vAlign w:val="center"/>
          </w:tcPr>
          <w:p w:rsidR="005965BB" w:rsidRPr="00BC1BEB" w:rsidRDefault="005965BB" w:rsidP="007C5460">
            <w:pPr>
              <w:pStyle w:val="TStyle"/>
              <w:keepNext/>
              <w:keepLines/>
              <w:spacing w:after="0"/>
              <w:jc w:val="center"/>
            </w:pPr>
            <w:r w:rsidRPr="00BC1BEB">
              <w:t>80 </w:t>
            </w:r>
            <w:r w:rsidRPr="00BC1BEB">
              <w:noBreakHyphen/>
              <w:t> 100</w:t>
            </w:r>
          </w:p>
        </w:tc>
      </w:tr>
      <w:tr w:rsidR="005965BB" w:rsidTr="007C5460">
        <w:trPr>
          <w:cantSplit/>
          <w:trHeight w:val="288"/>
        </w:trPr>
        <w:tc>
          <w:tcPr>
            <w:tcW w:w="4379" w:type="dxa"/>
            <w:tcBorders>
              <w:right w:val="single" w:sz="2" w:space="0" w:color="auto"/>
            </w:tcBorders>
            <w:vAlign w:val="center"/>
          </w:tcPr>
          <w:p w:rsidR="005965BB" w:rsidRPr="00BC1BEB" w:rsidRDefault="005965BB" w:rsidP="007C5460">
            <w:pPr>
              <w:pStyle w:val="TStyle"/>
              <w:keepNext/>
              <w:spacing w:after="0"/>
              <w:jc w:val="center"/>
            </w:pPr>
            <w:r w:rsidRPr="00BC1BEB">
              <w:t>2.36</w:t>
            </w:r>
          </w:p>
        </w:tc>
        <w:tc>
          <w:tcPr>
            <w:tcW w:w="4380" w:type="dxa"/>
            <w:tcBorders>
              <w:left w:val="single" w:sz="2" w:space="0" w:color="auto"/>
            </w:tcBorders>
            <w:vAlign w:val="center"/>
          </w:tcPr>
          <w:p w:rsidR="005965BB" w:rsidRPr="00BC1BEB" w:rsidRDefault="005965BB" w:rsidP="007C5460">
            <w:pPr>
              <w:pStyle w:val="TStyle"/>
              <w:keepNext/>
              <w:spacing w:after="0"/>
              <w:jc w:val="center"/>
            </w:pPr>
            <w:r w:rsidRPr="00BC1BEB">
              <w:t>60 </w:t>
            </w:r>
            <w:r w:rsidRPr="00BC1BEB">
              <w:noBreakHyphen/>
              <w:t> 100</w:t>
            </w:r>
          </w:p>
        </w:tc>
      </w:tr>
      <w:tr w:rsidR="005965BB" w:rsidTr="007C5460">
        <w:trPr>
          <w:cantSplit/>
          <w:trHeight w:val="308"/>
        </w:trPr>
        <w:tc>
          <w:tcPr>
            <w:tcW w:w="4379" w:type="dxa"/>
            <w:tcBorders>
              <w:right w:val="single" w:sz="2" w:space="0" w:color="auto"/>
            </w:tcBorders>
            <w:vAlign w:val="center"/>
          </w:tcPr>
          <w:p w:rsidR="005965BB" w:rsidRPr="00BC1BEB" w:rsidRDefault="005965BB" w:rsidP="007C5460">
            <w:pPr>
              <w:pStyle w:val="TStyle"/>
              <w:keepNext/>
              <w:spacing w:after="0"/>
              <w:jc w:val="center"/>
            </w:pPr>
            <w:r w:rsidRPr="00BC1BEB">
              <w:t>0.425</w:t>
            </w:r>
          </w:p>
        </w:tc>
        <w:tc>
          <w:tcPr>
            <w:tcW w:w="4380" w:type="dxa"/>
            <w:tcBorders>
              <w:left w:val="single" w:sz="2" w:space="0" w:color="auto"/>
            </w:tcBorders>
            <w:vAlign w:val="center"/>
          </w:tcPr>
          <w:p w:rsidR="005965BB" w:rsidRPr="00BC1BEB" w:rsidRDefault="005965BB" w:rsidP="007C5460">
            <w:pPr>
              <w:pStyle w:val="TStyle"/>
              <w:keepNext/>
              <w:spacing w:after="0"/>
              <w:jc w:val="center"/>
            </w:pPr>
            <w:r w:rsidRPr="00BC1BEB">
              <w:t>30 </w:t>
            </w:r>
            <w:r w:rsidRPr="00BC1BEB">
              <w:noBreakHyphen/>
              <w:t> 60</w:t>
            </w:r>
          </w:p>
        </w:tc>
      </w:tr>
      <w:tr w:rsidR="005965BB" w:rsidTr="007C5460">
        <w:trPr>
          <w:cantSplit/>
          <w:trHeight w:val="288"/>
        </w:trPr>
        <w:tc>
          <w:tcPr>
            <w:tcW w:w="4379" w:type="dxa"/>
            <w:tcBorders>
              <w:right w:val="single" w:sz="2" w:space="0" w:color="auto"/>
            </w:tcBorders>
            <w:vAlign w:val="center"/>
          </w:tcPr>
          <w:p w:rsidR="005965BB" w:rsidRPr="00BC1BEB" w:rsidRDefault="005965BB" w:rsidP="007C5460">
            <w:pPr>
              <w:pStyle w:val="TStyle"/>
              <w:keepNext/>
              <w:spacing w:after="0"/>
              <w:jc w:val="center"/>
            </w:pPr>
            <w:r w:rsidRPr="00BC1BEB">
              <w:t>0.075</w:t>
            </w:r>
          </w:p>
        </w:tc>
        <w:tc>
          <w:tcPr>
            <w:tcW w:w="4380" w:type="dxa"/>
            <w:tcBorders>
              <w:left w:val="single" w:sz="2" w:space="0" w:color="auto"/>
            </w:tcBorders>
            <w:vAlign w:val="center"/>
          </w:tcPr>
          <w:p w:rsidR="005965BB" w:rsidRPr="00BC1BEB" w:rsidRDefault="005965BB" w:rsidP="007C5460">
            <w:pPr>
              <w:pStyle w:val="TStyle"/>
              <w:keepNext/>
              <w:spacing w:after="0"/>
              <w:jc w:val="center"/>
            </w:pPr>
            <w:r w:rsidRPr="00BC1BEB">
              <w:t>14 </w:t>
            </w:r>
            <w:r w:rsidRPr="00BC1BEB">
              <w:noBreakHyphen/>
              <w:t> 28</w:t>
            </w:r>
          </w:p>
        </w:tc>
      </w:tr>
    </w:tbl>
    <w:p w:rsidR="000155B6" w:rsidRDefault="000155B6" w:rsidP="000155B6">
      <w:bookmarkStart w:id="79" w:name="_Toc390823463"/>
      <w:bookmarkStart w:id="80" w:name="_Toc391429155"/>
      <w:bookmarkStart w:id="81" w:name="_Toc396034081"/>
      <w:bookmarkStart w:id="82" w:name="_Toc398800264"/>
    </w:p>
    <w:p w:rsidR="005965BB" w:rsidRDefault="005965BB" w:rsidP="005965BB">
      <w:pPr>
        <w:pStyle w:val="Heading2"/>
        <w:rPr>
          <w:lang w:val="en-AU"/>
        </w:rPr>
      </w:pPr>
      <w:r>
        <w:rPr>
          <w:lang w:val="en-AU"/>
        </w:rPr>
        <w:t>Subgrade</w:t>
      </w:r>
    </w:p>
    <w:p w:rsidR="005965BB" w:rsidRPr="0013654F" w:rsidRDefault="005965BB" w:rsidP="005965BB">
      <w:r w:rsidRPr="0013654F">
        <w:t xml:space="preserve">Material used in the subgrade layer (150mm of material below the pavement layers) whether in cut or fill must have a maximum particle size of 50mm and have the same material properties and grading as per either </w:t>
      </w:r>
      <w:r w:rsidRPr="00143990">
        <w:rPr>
          <w:b/>
        </w:rPr>
        <w:t>Standard Fill</w:t>
      </w:r>
      <w:r w:rsidRPr="0013654F">
        <w:t xml:space="preserve"> or </w:t>
      </w:r>
      <w:r w:rsidRPr="00143990">
        <w:rPr>
          <w:b/>
        </w:rPr>
        <w:t>Select Fill</w:t>
      </w:r>
      <w:r w:rsidRPr="0013654F">
        <w:t xml:space="preserve"> sub clauses in this work section and provided as a homogenous layer.</w:t>
      </w:r>
    </w:p>
    <w:p w:rsidR="005965BB" w:rsidRPr="0013654F" w:rsidRDefault="005965BB" w:rsidP="005965BB">
      <w:r w:rsidRPr="0013654F">
        <w:t xml:space="preserve">Where the insitu material is to be utilised as subgrade, the material is to be ripped, mixed, and compacted. The material properties must conform to </w:t>
      </w:r>
      <w:r w:rsidRPr="00FC1064">
        <w:rPr>
          <w:b/>
        </w:rPr>
        <w:t>Standard Fill</w:t>
      </w:r>
      <w:r w:rsidRPr="0013654F">
        <w:t xml:space="preserve"> or </w:t>
      </w:r>
      <w:r w:rsidRPr="00FC1064">
        <w:rPr>
          <w:b/>
        </w:rPr>
        <w:t>Select Fill</w:t>
      </w:r>
      <w:r w:rsidRPr="0013654F">
        <w:t xml:space="preserve"> subclauses in this work section and be worked to achieve the required compaction as per </w:t>
      </w:r>
      <w:r w:rsidRPr="0013654F">
        <w:rPr>
          <w:b/>
        </w:rPr>
        <w:t xml:space="preserve">Table – Dry Density Ratios </w:t>
      </w:r>
      <w:proofErr w:type="gramStart"/>
      <w:r w:rsidRPr="0013654F">
        <w:rPr>
          <w:b/>
        </w:rPr>
        <w:t>For</w:t>
      </w:r>
      <w:proofErr w:type="gramEnd"/>
      <w:r w:rsidRPr="0013654F">
        <w:rPr>
          <w:b/>
        </w:rPr>
        <w:t xml:space="preserve"> Subgrade Layer</w:t>
      </w:r>
      <w:r w:rsidRPr="0013654F">
        <w:t>.</w:t>
      </w:r>
    </w:p>
    <w:p w:rsidR="005965BB" w:rsidRDefault="005965BB" w:rsidP="005965BB">
      <w:r w:rsidRPr="0013654F">
        <w:t>The following compaction requirements apply to the material whether in fill or</w:t>
      </w:r>
      <w:r>
        <w:t xml:space="preserve"> cut used in the subgrade layer.</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714"/>
        <w:gridCol w:w="3933"/>
      </w:tblGrid>
      <w:tr w:rsidR="005965BB" w:rsidRPr="00711043" w:rsidTr="00E66211">
        <w:trPr>
          <w:jc w:val="center"/>
        </w:trPr>
        <w:tc>
          <w:tcPr>
            <w:tcW w:w="8647" w:type="dxa"/>
            <w:gridSpan w:val="2"/>
          </w:tcPr>
          <w:p w:rsidR="005965BB" w:rsidRPr="007877AA" w:rsidRDefault="005965BB" w:rsidP="007877AA">
            <w:pPr>
              <w:widowControl w:val="0"/>
              <w:numPr>
                <w:ilvl w:val="1"/>
                <w:numId w:val="0"/>
              </w:numPr>
              <w:spacing w:before="120" w:after="120"/>
              <w:outlineLvl w:val="1"/>
              <w:rPr>
                <w:rStyle w:val="Strong"/>
                <w:rFonts w:eastAsiaTheme="majorEastAsia"/>
              </w:rPr>
            </w:pPr>
            <w:r w:rsidRPr="007877AA">
              <w:rPr>
                <w:rStyle w:val="Strong"/>
                <w:rFonts w:eastAsiaTheme="majorEastAsia"/>
              </w:rPr>
              <w:t>Table - Dry Density Ratios For Subgrade Layer</w:t>
            </w:r>
          </w:p>
        </w:tc>
      </w:tr>
      <w:tr w:rsidR="005965BB" w:rsidRPr="00711043" w:rsidTr="00E66211">
        <w:trPr>
          <w:jc w:val="center"/>
        </w:trPr>
        <w:tc>
          <w:tcPr>
            <w:tcW w:w="4714" w:type="dxa"/>
          </w:tcPr>
          <w:p w:rsidR="005965BB" w:rsidRPr="00711043" w:rsidRDefault="005965BB" w:rsidP="007877AA">
            <w:pPr>
              <w:widowControl w:val="0"/>
              <w:numPr>
                <w:ilvl w:val="1"/>
                <w:numId w:val="0"/>
              </w:numPr>
              <w:spacing w:before="120" w:after="120"/>
              <w:outlineLvl w:val="1"/>
              <w:rPr>
                <w:rFonts w:eastAsiaTheme="majorEastAsia" w:cstheme="majorBidi"/>
                <w:b/>
                <w:bCs/>
                <w:iCs/>
                <w:caps/>
                <w:color w:val="606060"/>
              </w:rPr>
            </w:pPr>
            <w:r w:rsidRPr="00711043">
              <w:rPr>
                <w:rFonts w:cs="Arial"/>
                <w:b/>
              </w:rPr>
              <w:t>Subgrade layer type</w:t>
            </w:r>
          </w:p>
        </w:tc>
        <w:tc>
          <w:tcPr>
            <w:tcW w:w="3933" w:type="dxa"/>
          </w:tcPr>
          <w:p w:rsidR="005965BB" w:rsidRPr="00711043" w:rsidRDefault="005965BB" w:rsidP="007877AA">
            <w:pPr>
              <w:widowControl w:val="0"/>
              <w:numPr>
                <w:ilvl w:val="1"/>
                <w:numId w:val="0"/>
              </w:numPr>
              <w:spacing w:before="120" w:after="120"/>
              <w:outlineLvl w:val="1"/>
              <w:rPr>
                <w:rFonts w:eastAsiaTheme="majorEastAsia" w:cstheme="majorBidi"/>
                <w:b/>
                <w:bCs/>
                <w:iCs/>
                <w:caps/>
                <w:color w:val="606060"/>
              </w:rPr>
            </w:pPr>
            <w:r w:rsidRPr="00711043">
              <w:rPr>
                <w:rFonts w:cs="Arial"/>
                <w:b/>
              </w:rPr>
              <w:t>Minimum Dry Density</w:t>
            </w:r>
          </w:p>
        </w:tc>
      </w:tr>
      <w:tr w:rsidR="005965BB" w:rsidRPr="00711043" w:rsidTr="00E66211">
        <w:trPr>
          <w:jc w:val="center"/>
        </w:trPr>
        <w:tc>
          <w:tcPr>
            <w:tcW w:w="4714" w:type="dxa"/>
          </w:tcPr>
          <w:p w:rsidR="005965BB" w:rsidRPr="00711043" w:rsidRDefault="005965BB" w:rsidP="007877AA">
            <w:pPr>
              <w:widowControl w:val="0"/>
              <w:numPr>
                <w:ilvl w:val="1"/>
                <w:numId w:val="0"/>
              </w:numPr>
              <w:spacing w:before="120" w:after="120"/>
              <w:outlineLvl w:val="1"/>
              <w:rPr>
                <w:rFonts w:eastAsiaTheme="majorEastAsia" w:cstheme="majorBidi"/>
                <w:b/>
                <w:bCs/>
                <w:iCs/>
                <w:caps/>
                <w:color w:val="606060"/>
              </w:rPr>
            </w:pPr>
            <w:r w:rsidRPr="00711043">
              <w:rPr>
                <w:rFonts w:cs="Arial"/>
              </w:rPr>
              <w:t>Subgrade not abutting existing pavement</w:t>
            </w:r>
          </w:p>
        </w:tc>
        <w:tc>
          <w:tcPr>
            <w:tcW w:w="3933" w:type="dxa"/>
          </w:tcPr>
          <w:p w:rsidR="005965BB" w:rsidRPr="00711043" w:rsidRDefault="005965BB" w:rsidP="007877AA">
            <w:pPr>
              <w:widowControl w:val="0"/>
              <w:numPr>
                <w:ilvl w:val="1"/>
                <w:numId w:val="0"/>
              </w:numPr>
              <w:spacing w:before="120" w:after="120"/>
              <w:outlineLvl w:val="1"/>
              <w:rPr>
                <w:rFonts w:eastAsiaTheme="majorEastAsia" w:cstheme="majorBidi"/>
                <w:b/>
                <w:bCs/>
                <w:iCs/>
                <w:caps/>
                <w:color w:val="606060"/>
              </w:rPr>
            </w:pPr>
            <w:r w:rsidRPr="00711043">
              <w:rPr>
                <w:rFonts w:cs="Arial"/>
              </w:rPr>
              <w:t>95%</w:t>
            </w:r>
          </w:p>
        </w:tc>
      </w:tr>
      <w:tr w:rsidR="005965BB" w:rsidRPr="0052591E" w:rsidTr="00E66211">
        <w:trPr>
          <w:jc w:val="center"/>
        </w:trPr>
        <w:tc>
          <w:tcPr>
            <w:tcW w:w="4714" w:type="dxa"/>
          </w:tcPr>
          <w:p w:rsidR="005965BB" w:rsidRPr="00711043" w:rsidRDefault="005965BB" w:rsidP="007877AA">
            <w:pPr>
              <w:widowControl w:val="0"/>
              <w:numPr>
                <w:ilvl w:val="1"/>
                <w:numId w:val="0"/>
              </w:numPr>
              <w:spacing w:before="120" w:after="120"/>
              <w:outlineLvl w:val="1"/>
              <w:rPr>
                <w:rFonts w:eastAsiaTheme="majorEastAsia" w:cstheme="majorBidi"/>
                <w:b/>
                <w:bCs/>
                <w:iCs/>
                <w:caps/>
                <w:color w:val="606060"/>
              </w:rPr>
            </w:pPr>
            <w:r w:rsidRPr="00711043">
              <w:rPr>
                <w:rFonts w:cs="Arial"/>
              </w:rPr>
              <w:t>Subgrade abutting existing pavement (applicable for subgrade layer over the full width of pavement widening)</w:t>
            </w:r>
          </w:p>
        </w:tc>
        <w:tc>
          <w:tcPr>
            <w:tcW w:w="3933" w:type="dxa"/>
          </w:tcPr>
          <w:p w:rsidR="005965BB" w:rsidRPr="0052591E" w:rsidRDefault="005965BB" w:rsidP="007877AA">
            <w:pPr>
              <w:widowControl w:val="0"/>
              <w:numPr>
                <w:ilvl w:val="1"/>
                <w:numId w:val="0"/>
              </w:numPr>
              <w:spacing w:before="120" w:after="120"/>
              <w:ind w:left="576" w:hanging="576"/>
              <w:jc w:val="both"/>
              <w:outlineLvl w:val="1"/>
              <w:rPr>
                <w:rFonts w:cs="Arial"/>
              </w:rPr>
            </w:pPr>
            <w:r w:rsidRPr="00711043">
              <w:rPr>
                <w:rFonts w:cs="Arial"/>
              </w:rPr>
              <w:t>98%</w:t>
            </w:r>
          </w:p>
        </w:tc>
      </w:tr>
    </w:tbl>
    <w:p w:rsidR="005965BB" w:rsidRPr="00273356" w:rsidRDefault="005965BB" w:rsidP="00A70FE1">
      <w:pPr>
        <w:spacing w:after="120"/>
        <w:rPr>
          <w:lang w:val="en-US"/>
        </w:rPr>
      </w:pPr>
    </w:p>
    <w:bookmarkEnd w:id="79"/>
    <w:bookmarkEnd w:id="80"/>
    <w:bookmarkEnd w:id="81"/>
    <w:bookmarkEnd w:id="82"/>
    <w:p w:rsidR="005965BB" w:rsidRPr="00BC1BEB" w:rsidRDefault="005965BB" w:rsidP="005965BB">
      <w:r w:rsidRPr="00BC1BEB">
        <w:t>Trim</w:t>
      </w:r>
      <w:r>
        <w:t>, prepare, and maintain, subgrade</w:t>
      </w:r>
      <w:r w:rsidRPr="00BC1BEB">
        <w:t xml:space="preserve"> surface to the </w:t>
      </w:r>
      <w:r>
        <w:t>required</w:t>
      </w:r>
      <w:r w:rsidRPr="00BC1BEB">
        <w:t xml:space="preserve"> tolerances specified </w:t>
      </w:r>
      <w:r>
        <w:t xml:space="preserve">in this worksection, </w:t>
      </w:r>
      <w:r w:rsidRPr="00BC1BEB">
        <w:t>free of depressions</w:t>
      </w:r>
      <w:r>
        <w:t>,</w:t>
      </w:r>
      <w:r w:rsidRPr="00BC1BEB">
        <w:t xml:space="preserve"> </w:t>
      </w:r>
      <w:r>
        <w:t>cracking, laminations, organic inclusions,</w:t>
      </w:r>
      <w:r w:rsidRPr="00BC1BEB">
        <w:t xml:space="preserve"> and</w:t>
      </w:r>
      <w:r>
        <w:t xml:space="preserve"> other defects. Surface to be formed and maintained to be</w:t>
      </w:r>
      <w:r w:rsidRPr="00BC1BEB">
        <w:t xml:space="preserve"> free draining</w:t>
      </w:r>
      <w:r>
        <w:t>, and suitable for proof rolling</w:t>
      </w:r>
      <w:r w:rsidRPr="00BC1BEB">
        <w:t>.</w:t>
      </w:r>
    </w:p>
    <w:p w:rsidR="005965BB" w:rsidRPr="00BC1BEB" w:rsidRDefault="005965BB" w:rsidP="005965BB">
      <w:r w:rsidRPr="00BC1BEB">
        <w:t>Maintain and repair any damage to the prepared surface prior to placing further material.</w:t>
      </w:r>
    </w:p>
    <w:p w:rsidR="005965BB" w:rsidRDefault="005965BB" w:rsidP="005965BB">
      <w:pPr>
        <w:pStyle w:val="Heading2"/>
        <w:rPr>
          <w:lang w:val="en-AU"/>
        </w:rPr>
      </w:pPr>
      <w:bookmarkStart w:id="83" w:name="_Toc390823464"/>
      <w:bookmarkStart w:id="84" w:name="_Toc391429156"/>
      <w:bookmarkStart w:id="85" w:name="_Toc396034082"/>
      <w:bookmarkStart w:id="86" w:name="_Toc398800265"/>
      <w:r w:rsidRPr="00BC1BEB">
        <w:rPr>
          <w:lang w:val="en-AU"/>
        </w:rPr>
        <w:t>Earthworks For Drainage</w:t>
      </w:r>
      <w:bookmarkEnd w:id="83"/>
      <w:bookmarkEnd w:id="84"/>
      <w:bookmarkEnd w:id="85"/>
      <w:bookmarkEnd w:id="86"/>
    </w:p>
    <w:p w:rsidR="005965BB" w:rsidRDefault="005965BB" w:rsidP="005965BB">
      <w:r>
        <w:t>Comply with the requirements of the Standard Specification for Environmental Management.</w:t>
      </w:r>
    </w:p>
    <w:p w:rsidR="005965BB" w:rsidRPr="004369E4" w:rsidRDefault="005965BB" w:rsidP="005965BB">
      <w:r>
        <w:t>Gradients shown are in the ratio of Rise</w:t>
      </w:r>
      <w:proofErr w:type="gramStart"/>
      <w:r>
        <w:t>:Run</w:t>
      </w:r>
      <w:proofErr w:type="gramEnd"/>
      <w:r>
        <w:t>.</w:t>
      </w:r>
    </w:p>
    <w:p w:rsidR="005965BB" w:rsidRPr="00BC1BEB" w:rsidRDefault="005965BB" w:rsidP="005965BB">
      <w:pPr>
        <w:pStyle w:val="Heading3"/>
        <w:rPr>
          <w:lang w:val="en-AU"/>
        </w:rPr>
      </w:pPr>
      <w:bookmarkStart w:id="87" w:name="_Toc390823465"/>
      <w:bookmarkStart w:id="88" w:name="_Toc391429157"/>
      <w:bookmarkStart w:id="89" w:name="_Toc396034083"/>
      <w:bookmarkStart w:id="90" w:name="_Toc398800266"/>
      <w:r w:rsidRPr="00BC1BEB">
        <w:rPr>
          <w:lang w:val="en-AU"/>
        </w:rPr>
        <w:t>Stream Diversions</w:t>
      </w:r>
      <w:bookmarkEnd w:id="87"/>
      <w:bookmarkEnd w:id="88"/>
      <w:bookmarkEnd w:id="89"/>
      <w:bookmarkEnd w:id="90"/>
    </w:p>
    <w:p w:rsidR="005965BB" w:rsidRPr="00BC1BEB" w:rsidRDefault="005965BB" w:rsidP="005965BB">
      <w:r w:rsidRPr="00BC1BEB">
        <w:t>Excavate stream diversions as shown on the drawings.</w:t>
      </w:r>
    </w:p>
    <w:p w:rsidR="005965BB" w:rsidRPr="00BC1BEB" w:rsidRDefault="005965BB" w:rsidP="005965BB">
      <w:pPr>
        <w:pStyle w:val="guidenotes"/>
        <w:rPr>
          <w:lang w:val="en-AU"/>
        </w:rPr>
      </w:pPr>
      <w:r>
        <w:rPr>
          <w:lang w:val="en-AU"/>
        </w:rPr>
        <w:t>[Delete if the</w:t>
      </w:r>
      <w:r w:rsidRPr="00BC1BEB">
        <w:rPr>
          <w:lang w:val="en-AU"/>
        </w:rPr>
        <w:t xml:space="preserve"> drawings </w:t>
      </w:r>
      <w:r>
        <w:rPr>
          <w:lang w:val="en-AU"/>
        </w:rPr>
        <w:t xml:space="preserve">do not </w:t>
      </w:r>
      <w:r w:rsidRPr="00BC1BEB">
        <w:rPr>
          <w:lang w:val="en-AU"/>
        </w:rPr>
        <w:t>define the work]</w:t>
      </w:r>
    </w:p>
    <w:p w:rsidR="005965BB" w:rsidRPr="00BC1BEB" w:rsidRDefault="005965BB" w:rsidP="005965BB">
      <w:r w:rsidRPr="00BC1BEB">
        <w:t>Fill existing watercourses as shown on the drawings.</w:t>
      </w:r>
    </w:p>
    <w:p w:rsidR="005965BB" w:rsidRPr="00BC1BEB" w:rsidRDefault="005965BB" w:rsidP="005965BB">
      <w:pPr>
        <w:pStyle w:val="guidenotes"/>
        <w:rPr>
          <w:lang w:val="en-AU"/>
        </w:rPr>
      </w:pPr>
      <w:r>
        <w:rPr>
          <w:lang w:val="en-AU"/>
        </w:rPr>
        <w:t>[Delete if the</w:t>
      </w:r>
      <w:r w:rsidRPr="00BC1BEB">
        <w:rPr>
          <w:lang w:val="en-AU"/>
        </w:rPr>
        <w:t xml:space="preserve"> drawings</w:t>
      </w:r>
      <w:r>
        <w:rPr>
          <w:lang w:val="en-AU"/>
        </w:rPr>
        <w:t xml:space="preserve"> do not</w:t>
      </w:r>
      <w:r w:rsidRPr="00BC1BEB">
        <w:rPr>
          <w:lang w:val="en-AU"/>
        </w:rPr>
        <w:t xml:space="preserve"> define the work]</w:t>
      </w:r>
    </w:p>
    <w:p w:rsidR="005965BB" w:rsidRPr="00BC1BEB" w:rsidRDefault="005965BB" w:rsidP="005965BB">
      <w:r w:rsidRPr="00BC1BEB">
        <w:t>Divert streams temporarily where it is necessary for the construction of the work.</w:t>
      </w:r>
    </w:p>
    <w:p w:rsidR="005965BB" w:rsidRPr="00BC1BEB" w:rsidRDefault="005965BB" w:rsidP="005965BB">
      <w:r w:rsidRPr="00BC1BEB">
        <w:t>Ensure that existing waterways are not filled, altered, or diverted except where specified.</w:t>
      </w:r>
    </w:p>
    <w:p w:rsidR="005965BB" w:rsidRPr="00BC1BEB" w:rsidRDefault="005965BB" w:rsidP="005965BB">
      <w:pPr>
        <w:pStyle w:val="Heading3"/>
        <w:rPr>
          <w:lang w:val="en-AU"/>
        </w:rPr>
      </w:pPr>
      <w:bookmarkStart w:id="91" w:name="_Toc390823466"/>
      <w:bookmarkStart w:id="92" w:name="_Toc391429158"/>
      <w:bookmarkStart w:id="93" w:name="_Toc396034084"/>
      <w:bookmarkStart w:id="94" w:name="_Toc398800267"/>
      <w:r w:rsidRPr="00BC1BEB">
        <w:rPr>
          <w:lang w:val="en-AU"/>
        </w:rPr>
        <w:lastRenderedPageBreak/>
        <w:t>Levees</w:t>
      </w:r>
      <w:bookmarkEnd w:id="91"/>
      <w:bookmarkEnd w:id="92"/>
      <w:bookmarkEnd w:id="93"/>
      <w:bookmarkEnd w:id="94"/>
      <w:r>
        <w:rPr>
          <w:lang w:val="en-AU"/>
        </w:rPr>
        <w:t>/Stop berms</w:t>
      </w:r>
    </w:p>
    <w:p w:rsidR="005965BB" w:rsidRDefault="005965BB" w:rsidP="005965BB">
      <w:r>
        <w:t>Construct and trim levees/stop berms at locations to divert the water flow from the table drains into a stream or culvert or other approved location.</w:t>
      </w:r>
    </w:p>
    <w:p w:rsidR="005965BB" w:rsidRDefault="005965BB" w:rsidP="005965BB">
      <w:r w:rsidRPr="00BC1BEB">
        <w:t>Construct using standard fill with a Plasticity Index of</w:t>
      </w:r>
      <w:r>
        <w:t xml:space="preserve"> </w:t>
      </w:r>
      <w:r w:rsidRPr="00BC1BEB">
        <w:t>6% minimum</w:t>
      </w:r>
      <w:r>
        <w:t xml:space="preserve"> for all areas.</w:t>
      </w:r>
    </w:p>
    <w:p w:rsidR="005965BB" w:rsidRPr="00BC1BEB" w:rsidRDefault="005965BB" w:rsidP="005965BB">
      <w:r w:rsidRPr="00BC1BEB">
        <w:t>Compact in layers not exceeding 150 mm compacted thickness.</w:t>
      </w:r>
    </w:p>
    <w:p w:rsidR="005965BB" w:rsidRPr="00BC1BEB" w:rsidRDefault="005965BB" w:rsidP="005965BB">
      <w:r w:rsidRPr="00BC1BEB">
        <w:t>Construct in locations, and to dimensions shown on the drawings.</w:t>
      </w:r>
    </w:p>
    <w:p w:rsidR="005965BB" w:rsidRPr="00BC1BEB" w:rsidRDefault="005965BB" w:rsidP="005965BB">
      <w:pPr>
        <w:pStyle w:val="guidenotes"/>
        <w:rPr>
          <w:lang w:val="en-AU"/>
        </w:rPr>
      </w:pPr>
      <w:r>
        <w:rPr>
          <w:lang w:val="en-AU"/>
        </w:rPr>
        <w:t>[Delete the last line if</w:t>
      </w:r>
      <w:r w:rsidRPr="00BC1BEB">
        <w:rPr>
          <w:lang w:val="en-AU"/>
        </w:rPr>
        <w:t xml:space="preserve"> the drawings</w:t>
      </w:r>
      <w:r>
        <w:rPr>
          <w:lang w:val="en-AU"/>
        </w:rPr>
        <w:t xml:space="preserve"> do not</w:t>
      </w:r>
      <w:r w:rsidRPr="00BC1BEB">
        <w:rPr>
          <w:lang w:val="en-AU"/>
        </w:rPr>
        <w:t xml:space="preserve"> define the work]</w:t>
      </w:r>
    </w:p>
    <w:p w:rsidR="005965BB" w:rsidRPr="00BC1BEB" w:rsidRDefault="005965BB" w:rsidP="005965BB">
      <w:pPr>
        <w:pStyle w:val="Heading3"/>
        <w:rPr>
          <w:lang w:val="en-AU"/>
        </w:rPr>
      </w:pPr>
      <w:bookmarkStart w:id="95" w:name="_Toc390823467"/>
      <w:bookmarkStart w:id="96" w:name="_Toc391429159"/>
      <w:bookmarkStart w:id="97" w:name="_Toc396034085"/>
      <w:bookmarkStart w:id="98" w:name="_Toc398800268"/>
      <w:r w:rsidRPr="00BC1BEB">
        <w:rPr>
          <w:lang w:val="en-AU"/>
        </w:rPr>
        <w:t>Table Drains</w:t>
      </w:r>
      <w:bookmarkEnd w:id="95"/>
      <w:bookmarkEnd w:id="96"/>
      <w:bookmarkEnd w:id="97"/>
      <w:bookmarkEnd w:id="98"/>
    </w:p>
    <w:p w:rsidR="005965BB" w:rsidRPr="00BC1BEB" w:rsidRDefault="005965BB" w:rsidP="005965BB">
      <w:r w:rsidRPr="00BC1BEB">
        <w:t>Construct to the dimensions shown on the drawings.</w:t>
      </w:r>
    </w:p>
    <w:p w:rsidR="005965BB" w:rsidRDefault="005965BB" w:rsidP="005965BB">
      <w:r w:rsidRPr="00BC1BEB">
        <w:t>Grade to prevent ponding of water.</w:t>
      </w:r>
    </w:p>
    <w:p w:rsidR="005965BB" w:rsidRPr="00D93250" w:rsidRDefault="005965BB" w:rsidP="005965BB">
      <w:r>
        <w:t xml:space="preserve">Trim and compact as specified in the </w:t>
      </w:r>
      <w:r>
        <w:rPr>
          <w:b/>
        </w:rPr>
        <w:t>Trim and Compact Unpaved Areas</w:t>
      </w:r>
      <w:r>
        <w:t xml:space="preserve"> clause in this work section.</w:t>
      </w:r>
    </w:p>
    <w:p w:rsidR="005965BB" w:rsidRPr="00BC1BEB" w:rsidRDefault="005965BB" w:rsidP="005965BB">
      <w:r w:rsidRPr="00BC1BEB">
        <w:t>Discharge into culverts, offlet drains or watercourses.</w:t>
      </w:r>
    </w:p>
    <w:p w:rsidR="005965BB" w:rsidRPr="00BC1BEB" w:rsidRDefault="005965BB" w:rsidP="005965BB">
      <w:pPr>
        <w:pStyle w:val="Heading3"/>
        <w:rPr>
          <w:lang w:val="en-AU"/>
        </w:rPr>
      </w:pPr>
      <w:bookmarkStart w:id="99" w:name="_Toc390823468"/>
      <w:bookmarkStart w:id="100" w:name="_Toc391429160"/>
      <w:bookmarkStart w:id="101" w:name="_Toc396034086"/>
      <w:bookmarkStart w:id="102" w:name="_Toc398800269"/>
      <w:r w:rsidRPr="00BC1BEB">
        <w:rPr>
          <w:lang w:val="en-AU"/>
        </w:rPr>
        <w:t>Table Drain Offlets</w:t>
      </w:r>
      <w:bookmarkEnd w:id="99"/>
      <w:bookmarkEnd w:id="100"/>
      <w:bookmarkEnd w:id="101"/>
      <w:bookmarkEnd w:id="102"/>
    </w:p>
    <w:p w:rsidR="005965BB" w:rsidRPr="00BC1BEB" w:rsidRDefault="005965BB" w:rsidP="005965BB">
      <w:r w:rsidRPr="00BC1BEB">
        <w:t>Divert table drains into offlet drains</w:t>
      </w:r>
      <w:r>
        <w:t xml:space="preserve"> </w:t>
      </w:r>
      <w:r w:rsidRPr="002057F7">
        <w:t>at intervals not exceeding</w:t>
      </w:r>
      <w:r>
        <w:t xml:space="preserve"> 150 m </w:t>
      </w:r>
      <w:r w:rsidRPr="002057F7">
        <w:rPr>
          <w:color w:val="723604"/>
        </w:rPr>
        <w:t>[</w:t>
      </w:r>
      <w:r>
        <w:rPr>
          <w:color w:val="723604"/>
        </w:rPr>
        <w:t xml:space="preserve">OR </w:t>
      </w:r>
      <w:r w:rsidRPr="002057F7">
        <w:rPr>
          <w:color w:val="723604"/>
        </w:rPr>
        <w:t>enter data]</w:t>
      </w:r>
      <w:r w:rsidRPr="002057F7">
        <w:t> m</w:t>
      </w:r>
      <w:r>
        <w:t>, or as shown on the design drawings</w:t>
      </w:r>
      <w:r w:rsidRPr="00BC1BEB">
        <w:t>.</w:t>
      </w:r>
    </w:p>
    <w:p w:rsidR="005965BB" w:rsidRPr="00BC1BEB" w:rsidRDefault="005965BB" w:rsidP="005965BB">
      <w:pPr>
        <w:pStyle w:val="guidenotes"/>
        <w:rPr>
          <w:lang w:val="en-AU"/>
        </w:rPr>
      </w:pPr>
      <w:r w:rsidRPr="00BC1BEB">
        <w:rPr>
          <w:lang w:val="en-AU"/>
        </w:rPr>
        <w:t>[</w:t>
      </w:r>
      <w:r>
        <w:rPr>
          <w:lang w:val="en-AU"/>
        </w:rPr>
        <w:t xml:space="preserve">Default 150 m. Enter information </w:t>
      </w:r>
      <w:r w:rsidRPr="00BC1BEB">
        <w:rPr>
          <w:lang w:val="en-AU"/>
        </w:rPr>
        <w:t>applicable]</w:t>
      </w:r>
    </w:p>
    <w:p w:rsidR="005965BB" w:rsidRDefault="005965BB" w:rsidP="005965BB">
      <w:r>
        <w:t>Extend drains as far as is required to prevent ponding in the table drains, with the length to be a minimum of 50 m.</w:t>
      </w:r>
    </w:p>
    <w:p w:rsidR="005965BB" w:rsidRPr="00BC1BEB" w:rsidRDefault="005965BB" w:rsidP="005965BB">
      <w:r w:rsidRPr="00BC1BEB">
        <w:t>Ensure the capacity of the offlet is not less than the capacity of the table drain, and is of similar cross section</w:t>
      </w:r>
      <w:r>
        <w:t xml:space="preserve"> and dimensions</w:t>
      </w:r>
      <w:r w:rsidRPr="00BC1BEB">
        <w:t>.</w:t>
      </w:r>
    </w:p>
    <w:p w:rsidR="005965BB" w:rsidRDefault="005965BB" w:rsidP="005965BB">
      <w:r w:rsidRPr="00BC1BEB">
        <w:t>Align and grade offlet so that the water drains away without scour and damage to disperse as sheet flow or into natural watercourses.</w:t>
      </w:r>
      <w:r>
        <w:t xml:space="preserve"> Gradient not to exceed 1:40 (1.5%).</w:t>
      </w:r>
    </w:p>
    <w:p w:rsidR="005965BB" w:rsidRDefault="005965BB" w:rsidP="005965BB">
      <w:r w:rsidRPr="0034618B">
        <w:t>Table drain offlets shall be trapezoidal in shape with not less than 2m flat bottom and batters shall not be steeper than</w:t>
      </w:r>
      <w:r>
        <w:t xml:space="preserve"> 1 vertical to 3 horizontal.</w:t>
      </w:r>
    </w:p>
    <w:p w:rsidR="005965BB" w:rsidRPr="00BC1BEB" w:rsidRDefault="005965BB" w:rsidP="005965BB">
      <w:r>
        <w:t>Divert table drain offlets neatly around natural obstacles such as large rocks, and trees.</w:t>
      </w:r>
    </w:p>
    <w:p w:rsidR="005965BB" w:rsidRPr="00BC1BEB" w:rsidRDefault="005965BB" w:rsidP="005965BB">
      <w:pPr>
        <w:pStyle w:val="Heading3"/>
        <w:rPr>
          <w:lang w:val="en-AU"/>
        </w:rPr>
      </w:pPr>
      <w:bookmarkStart w:id="103" w:name="_Toc390823469"/>
      <w:bookmarkStart w:id="104" w:name="_Toc391429161"/>
      <w:bookmarkStart w:id="105" w:name="_Toc396034087"/>
      <w:bookmarkStart w:id="106" w:name="_Toc398800270"/>
      <w:r w:rsidRPr="00BC1BEB">
        <w:rPr>
          <w:lang w:val="en-AU"/>
        </w:rPr>
        <w:t>Table Drain Blocks</w:t>
      </w:r>
      <w:bookmarkEnd w:id="103"/>
      <w:bookmarkEnd w:id="104"/>
      <w:bookmarkEnd w:id="105"/>
      <w:bookmarkEnd w:id="106"/>
    </w:p>
    <w:p w:rsidR="005965BB" w:rsidRPr="00BC1BEB" w:rsidRDefault="005965BB" w:rsidP="005965BB">
      <w:r>
        <w:t>Construct, or rehabilitate, and trim, table drain blocks at offlets.</w:t>
      </w:r>
    </w:p>
    <w:p w:rsidR="005965BB" w:rsidRPr="00BC1BEB" w:rsidRDefault="005965BB" w:rsidP="005965BB">
      <w:r w:rsidRPr="00BC1BEB">
        <w:t>Construct blocks from standard fill conforming to the following requirements:</w:t>
      </w:r>
    </w:p>
    <w:p w:rsidR="005965BB" w:rsidRPr="00BC1BEB" w:rsidRDefault="005965BB" w:rsidP="005965BB">
      <w:pPr>
        <w:pStyle w:val="ListParagraph"/>
        <w:numPr>
          <w:ilvl w:val="0"/>
          <w:numId w:val="3"/>
        </w:numPr>
      </w:pPr>
      <w:r w:rsidRPr="00BC1BEB">
        <w:t>Plasticity Index</w:t>
      </w:r>
      <w:r>
        <w:tab/>
        <w:t xml:space="preserve"> </w:t>
      </w:r>
      <w:r w:rsidRPr="00BC1BEB">
        <w:t>6% minimum</w:t>
      </w:r>
      <w:r>
        <w:t xml:space="preserve"> for all areas.</w:t>
      </w:r>
    </w:p>
    <w:p w:rsidR="005965BB" w:rsidRPr="00BC1BEB" w:rsidRDefault="005965BB" w:rsidP="005965BB">
      <w:pPr>
        <w:pStyle w:val="ListParagraph"/>
        <w:numPr>
          <w:ilvl w:val="0"/>
          <w:numId w:val="3"/>
        </w:numPr>
      </w:pPr>
      <w:r w:rsidRPr="00BC1BEB">
        <w:t>Length:</w:t>
      </w:r>
      <w:r w:rsidRPr="00BC1BEB">
        <w:tab/>
        <w:t>To extend from edge of shoulder to top of outer table drain batter.</w:t>
      </w:r>
    </w:p>
    <w:p w:rsidR="005965BB" w:rsidRPr="00BC1BEB" w:rsidRDefault="005965BB" w:rsidP="005965BB">
      <w:pPr>
        <w:pStyle w:val="ListParagraph"/>
        <w:numPr>
          <w:ilvl w:val="0"/>
          <w:numId w:val="3"/>
        </w:numPr>
      </w:pPr>
      <w:r w:rsidRPr="00BC1BEB">
        <w:t>Width:</w:t>
      </w:r>
      <w:r w:rsidRPr="00BC1BEB">
        <w:tab/>
        <w:t>3 metre minimum measured parallel to the road centre line.</w:t>
      </w:r>
    </w:p>
    <w:p w:rsidR="005965BB" w:rsidRPr="00BC1BEB" w:rsidRDefault="005965BB" w:rsidP="005965BB">
      <w:pPr>
        <w:pStyle w:val="ListParagraph"/>
        <w:numPr>
          <w:ilvl w:val="0"/>
          <w:numId w:val="3"/>
        </w:numPr>
      </w:pPr>
      <w:r w:rsidRPr="00BC1BEB">
        <w:t>Height:</w:t>
      </w:r>
      <w:r w:rsidRPr="00BC1BEB">
        <w:tab/>
        <w:t>To edge of shoulders.</w:t>
      </w:r>
    </w:p>
    <w:p w:rsidR="005965BB" w:rsidRPr="00BC1BEB" w:rsidRDefault="005965BB" w:rsidP="005965BB">
      <w:pPr>
        <w:pStyle w:val="ListParagraph"/>
        <w:numPr>
          <w:ilvl w:val="0"/>
          <w:numId w:val="3"/>
        </w:numPr>
      </w:pPr>
      <w:r w:rsidRPr="00BC1BEB">
        <w:t>Compaction:</w:t>
      </w:r>
      <w:r w:rsidRPr="00BC1BEB">
        <w:tab/>
        <w:t>Layers not exceeding 150 mm compacted thickness.</w:t>
      </w:r>
    </w:p>
    <w:p w:rsidR="005965BB" w:rsidRPr="00BC1BEB" w:rsidRDefault="005965BB" w:rsidP="005965BB">
      <w:pPr>
        <w:pStyle w:val="Heading3"/>
        <w:rPr>
          <w:lang w:val="en-AU"/>
        </w:rPr>
      </w:pPr>
      <w:bookmarkStart w:id="107" w:name="_Toc390823470"/>
      <w:bookmarkStart w:id="108" w:name="_Toc391429162"/>
      <w:bookmarkStart w:id="109" w:name="_Toc396034088"/>
      <w:bookmarkStart w:id="110" w:name="_Toc398800271"/>
      <w:r w:rsidRPr="00BC1BEB">
        <w:rPr>
          <w:lang w:val="en-AU"/>
        </w:rPr>
        <w:t>Catch Drains</w:t>
      </w:r>
      <w:bookmarkEnd w:id="107"/>
      <w:bookmarkEnd w:id="108"/>
      <w:bookmarkEnd w:id="109"/>
      <w:bookmarkEnd w:id="110"/>
    </w:p>
    <w:p w:rsidR="005965BB" w:rsidRPr="00BC1BEB" w:rsidRDefault="005965BB" w:rsidP="005965BB">
      <w:pPr>
        <w:tabs>
          <w:tab w:val="left" w:pos="2835"/>
        </w:tabs>
      </w:pPr>
      <w:r w:rsidRPr="00BC1BEB">
        <w:t>Construct catch drains prior to earthworks in cut.</w:t>
      </w:r>
    </w:p>
    <w:p w:rsidR="005965BB" w:rsidRPr="00BC1BEB" w:rsidRDefault="005965BB" w:rsidP="005965BB">
      <w:pPr>
        <w:tabs>
          <w:tab w:val="left" w:pos="2835"/>
        </w:tabs>
      </w:pPr>
      <w:r w:rsidRPr="00BC1BEB">
        <w:t>Depth:</w:t>
      </w:r>
      <w:r w:rsidRPr="00BC1BEB">
        <w:tab/>
        <w:t>500 mm (minimum) into solid ground.</w:t>
      </w:r>
    </w:p>
    <w:p w:rsidR="005965BB" w:rsidRPr="00BC1BEB" w:rsidRDefault="005965BB" w:rsidP="005965BB">
      <w:pPr>
        <w:tabs>
          <w:tab w:val="left" w:pos="2835"/>
        </w:tabs>
      </w:pPr>
      <w:r w:rsidRPr="00BC1BEB">
        <w:t>Gradients:</w:t>
      </w:r>
      <w:r w:rsidRPr="00BC1BEB">
        <w:tab/>
        <w:t>Ensure free flow, prevent ponding of water, prevent scour.</w:t>
      </w:r>
    </w:p>
    <w:p w:rsidR="005965BB" w:rsidRPr="00BC1BEB" w:rsidRDefault="005965BB" w:rsidP="005965BB">
      <w:pPr>
        <w:tabs>
          <w:tab w:val="left" w:pos="0"/>
          <w:tab w:val="left" w:pos="2835"/>
        </w:tabs>
        <w:ind w:left="2835" w:hanging="2835"/>
      </w:pPr>
      <w:r w:rsidRPr="00BC1BEB">
        <w:lastRenderedPageBreak/>
        <w:t>Outlets:</w:t>
      </w:r>
      <w:r w:rsidRPr="00BC1BEB">
        <w:tab/>
        <w:t>As terrain permits construct at frequent intervals to reduce scour</w:t>
      </w:r>
      <w:r>
        <w:t xml:space="preserve">. </w:t>
      </w:r>
      <w:r w:rsidRPr="00BC1BEB">
        <w:t>Construct a block on continuous grades to divert water into culverts or drains.</w:t>
      </w:r>
    </w:p>
    <w:p w:rsidR="005965BB" w:rsidRPr="00BC1BEB" w:rsidRDefault="005965BB" w:rsidP="005965BB">
      <w:pPr>
        <w:tabs>
          <w:tab w:val="left" w:pos="2835"/>
        </w:tabs>
        <w:ind w:left="2835" w:hanging="2835"/>
      </w:pPr>
      <w:r w:rsidRPr="00BC1BEB">
        <w:t>Offset:</w:t>
      </w:r>
      <w:r w:rsidRPr="00BC1BEB">
        <w:tab/>
        <w:t>2 m (minimum) and 4 m (maximum) beyond the edge of the cutting.</w:t>
      </w:r>
    </w:p>
    <w:p w:rsidR="005965BB" w:rsidRPr="00BC1BEB" w:rsidRDefault="005965BB" w:rsidP="005965BB">
      <w:pPr>
        <w:tabs>
          <w:tab w:val="left" w:pos="2835"/>
        </w:tabs>
      </w:pPr>
      <w:r w:rsidRPr="00BC1BEB">
        <w:t>Divert the drain neatly around large rocks and trees.</w:t>
      </w:r>
    </w:p>
    <w:p w:rsidR="005965BB" w:rsidRPr="00BC1BEB" w:rsidRDefault="005965BB" w:rsidP="005965BB">
      <w:pPr>
        <w:pStyle w:val="Heading2"/>
        <w:rPr>
          <w:lang w:val="en-AU"/>
        </w:rPr>
      </w:pPr>
      <w:bookmarkStart w:id="111" w:name="_Toc390823471"/>
      <w:bookmarkStart w:id="112" w:name="_Toc391429163"/>
      <w:bookmarkStart w:id="113" w:name="_Toc396034089"/>
      <w:bookmarkStart w:id="114" w:name="_Toc398800272"/>
      <w:r w:rsidRPr="00BC1BEB">
        <w:rPr>
          <w:lang w:val="en-AU"/>
        </w:rPr>
        <w:t>Widening Of Existing Formation</w:t>
      </w:r>
      <w:bookmarkEnd w:id="111"/>
      <w:bookmarkEnd w:id="112"/>
      <w:bookmarkEnd w:id="113"/>
      <w:bookmarkEnd w:id="114"/>
    </w:p>
    <w:p w:rsidR="005965BB" w:rsidRPr="00BC1BEB" w:rsidRDefault="005965BB" w:rsidP="005965BB">
      <w:r w:rsidRPr="00BC1BEB">
        <w:t>Cut back the existing formation and pavement as shown on the drawings by not less than 150 mm on each edge to sound densely compacted material to form a uniform edge (curved or straight where applicable).</w:t>
      </w:r>
    </w:p>
    <w:p w:rsidR="005965BB" w:rsidRPr="00BC1BEB" w:rsidRDefault="005965BB" w:rsidP="005965BB">
      <w:r w:rsidRPr="00BC1BEB">
        <w:t>Construct the widening by cutting and filling as specified.</w:t>
      </w:r>
    </w:p>
    <w:p w:rsidR="005965BB" w:rsidRPr="00BC1BEB" w:rsidRDefault="005965BB" w:rsidP="005965BB">
      <w:pPr>
        <w:pStyle w:val="Heading2"/>
        <w:rPr>
          <w:lang w:val="en-AU"/>
        </w:rPr>
      </w:pPr>
      <w:bookmarkStart w:id="115" w:name="_Toc390823472"/>
      <w:bookmarkStart w:id="116" w:name="_Toc391429164"/>
      <w:bookmarkStart w:id="117" w:name="_Toc396034090"/>
      <w:bookmarkStart w:id="118" w:name="_Toc398800273"/>
      <w:r w:rsidRPr="00BC1BEB">
        <w:rPr>
          <w:lang w:val="en-AU"/>
        </w:rPr>
        <w:t>Trim And Compact Unpaved Areas</w:t>
      </w:r>
      <w:bookmarkEnd w:id="115"/>
      <w:bookmarkEnd w:id="116"/>
      <w:bookmarkEnd w:id="117"/>
      <w:bookmarkEnd w:id="118"/>
    </w:p>
    <w:p w:rsidR="005965BB" w:rsidRDefault="005965BB" w:rsidP="005965BB">
      <w:r w:rsidRPr="00BC1BEB">
        <w:t>Shape, grade and compact as specified.</w:t>
      </w:r>
    </w:p>
    <w:p w:rsidR="005965BB" w:rsidRDefault="005965BB" w:rsidP="005965BB">
      <w:r>
        <w:t>Unpaved areas include, but are not limited to, areas beyond the shoulders, and table drains.</w:t>
      </w:r>
    </w:p>
    <w:p w:rsidR="005965BB" w:rsidRDefault="005965BB" w:rsidP="005965BB">
      <w:r>
        <w:t xml:space="preserve">Refer to </w:t>
      </w:r>
      <w:r>
        <w:rPr>
          <w:b/>
          <w:i/>
        </w:rPr>
        <w:t>Table – Test Frequencies for Soils – Part 3 of 3</w:t>
      </w:r>
      <w:r>
        <w:t xml:space="preserve"> in CONFORMANCE TESTING.</w:t>
      </w:r>
    </w:p>
    <w:p w:rsidR="005965BB" w:rsidRPr="00735608" w:rsidRDefault="005965BB" w:rsidP="005965BB">
      <w:r>
        <w:t xml:space="preserve">Refer to </w:t>
      </w:r>
      <w:r>
        <w:rPr>
          <w:b/>
          <w:i/>
        </w:rPr>
        <w:t>Table – Dry Density Ratios for Conformance</w:t>
      </w:r>
      <w:r>
        <w:t xml:space="preserve"> in CONFORMANCE TESTING.</w:t>
      </w:r>
    </w:p>
    <w:p w:rsidR="005965BB" w:rsidRPr="00BC1BEB" w:rsidRDefault="005965BB" w:rsidP="005965BB">
      <w:pPr>
        <w:pStyle w:val="Heading2"/>
        <w:rPr>
          <w:lang w:val="en-AU"/>
        </w:rPr>
      </w:pPr>
      <w:bookmarkStart w:id="119" w:name="_Toc390823473"/>
      <w:bookmarkStart w:id="120" w:name="_Toc391429165"/>
      <w:bookmarkStart w:id="121" w:name="_Toc396034091"/>
      <w:bookmarkStart w:id="122" w:name="_Toc398800274"/>
      <w:r w:rsidRPr="00BC1BEB">
        <w:rPr>
          <w:lang w:val="en-AU"/>
        </w:rPr>
        <w:t>Surface Formation</w:t>
      </w:r>
      <w:bookmarkEnd w:id="119"/>
      <w:bookmarkEnd w:id="120"/>
      <w:bookmarkEnd w:id="121"/>
      <w:bookmarkEnd w:id="122"/>
    </w:p>
    <w:p w:rsidR="005965BB" w:rsidRPr="00BC1BEB" w:rsidRDefault="005965BB" w:rsidP="005965BB">
      <w:pPr>
        <w:pStyle w:val="Heading3"/>
        <w:rPr>
          <w:lang w:val="en-AU"/>
        </w:rPr>
      </w:pPr>
      <w:r w:rsidRPr="00BC1BEB">
        <w:rPr>
          <w:lang w:val="en-AU"/>
        </w:rPr>
        <w:t>General</w:t>
      </w:r>
    </w:p>
    <w:p w:rsidR="005965BB" w:rsidRDefault="005965BB" w:rsidP="005965BB">
      <w:r w:rsidRPr="00BC1BEB">
        <w:t>Form the road generally with material cut from the table drains, in accordance with the typical cross section.</w:t>
      </w:r>
    </w:p>
    <w:p w:rsidR="005965BB" w:rsidRPr="00BC1BEB" w:rsidRDefault="005965BB" w:rsidP="005965BB">
      <w:r>
        <w:t>Mix to a homogeneous material before compacting.</w:t>
      </w:r>
    </w:p>
    <w:p w:rsidR="005965BB" w:rsidRPr="00BC1BEB" w:rsidRDefault="005965BB" w:rsidP="005965BB">
      <w:r w:rsidRPr="00BC1BEB">
        <w:t>Allow for construction to the specified height above natural surface, either by local widening of table drains or importation of standard fill.</w:t>
      </w:r>
    </w:p>
    <w:p w:rsidR="005965BB" w:rsidRPr="00BC1BEB" w:rsidRDefault="005965BB" w:rsidP="005965BB">
      <w:pPr>
        <w:pStyle w:val="Heading3"/>
        <w:rPr>
          <w:lang w:val="en-AU"/>
        </w:rPr>
      </w:pPr>
      <w:r w:rsidRPr="00BC1BEB">
        <w:rPr>
          <w:lang w:val="en-AU"/>
        </w:rPr>
        <w:t>Pastoral Access Roads</w:t>
      </w:r>
    </w:p>
    <w:p w:rsidR="005965BB" w:rsidRPr="00BC1BEB" w:rsidRDefault="005965BB" w:rsidP="005965BB">
      <w:r w:rsidRPr="00BC1BEB">
        <w:t>For in situ pavement materials comply with the following:</w:t>
      </w:r>
    </w:p>
    <w:p w:rsidR="005965BB" w:rsidRPr="00BC1BEB" w:rsidRDefault="005965BB" w:rsidP="005965BB">
      <w:r w:rsidRPr="00BC1BEB">
        <w:t xml:space="preserve">CBR 4 day soaked </w:t>
      </w:r>
      <w:r>
        <w:t>at 95% MMDD to AS 1289</w:t>
      </w:r>
      <w:r w:rsidRPr="00BC1BEB">
        <w:t>:</w:t>
      </w:r>
      <w:r w:rsidRPr="00BC1BEB">
        <w:tab/>
      </w:r>
      <w:r w:rsidRPr="00BC1BEB">
        <w:tab/>
        <w:t>30 minimum.</w:t>
      </w:r>
    </w:p>
    <w:p w:rsidR="005965BB" w:rsidRPr="00BC1BEB" w:rsidRDefault="005965BB" w:rsidP="005965BB">
      <w:r w:rsidRPr="00BC1BEB">
        <w:t>Maximum particle size:</w:t>
      </w:r>
      <w:r w:rsidRPr="00BC1BEB">
        <w:tab/>
      </w:r>
      <w:r w:rsidRPr="00BC1BEB">
        <w:tab/>
      </w:r>
      <w:r w:rsidRPr="00BC1BEB">
        <w:tab/>
      </w:r>
      <w:r w:rsidRPr="00BC1BEB">
        <w:tab/>
      </w:r>
      <w:r>
        <w:tab/>
      </w:r>
      <w:r w:rsidRPr="00BC1BEB">
        <w:t>37.5 mm.</w:t>
      </w:r>
    </w:p>
    <w:p w:rsidR="005965BB" w:rsidRPr="00BC1BEB" w:rsidRDefault="005965BB" w:rsidP="005965BB">
      <w:r w:rsidRPr="00BC1BEB">
        <w:t>Plasticity Index:</w:t>
      </w:r>
      <w:r w:rsidRPr="00BC1BEB">
        <w:tab/>
      </w:r>
      <w:r w:rsidRPr="00BC1BEB">
        <w:tab/>
      </w:r>
      <w:r w:rsidRPr="00BC1BEB">
        <w:tab/>
      </w:r>
      <w:r w:rsidRPr="00BC1BEB">
        <w:tab/>
      </w:r>
      <w:r w:rsidRPr="00BC1BEB">
        <w:tab/>
      </w:r>
      <w:r>
        <w:tab/>
      </w:r>
      <w:r w:rsidRPr="00BC1BEB">
        <w:t>4 </w:t>
      </w:r>
      <w:r w:rsidRPr="00BC1BEB">
        <w:noBreakHyphen/>
        <w:t> 12%.</w:t>
      </w:r>
    </w:p>
    <w:p w:rsidR="005965BB" w:rsidRPr="00BC1BEB" w:rsidRDefault="005965BB" w:rsidP="005965BB">
      <w:r w:rsidRPr="00BC1BEB">
        <w:t>Alternatively sheet the in situ material with 150 mm imported material complying with the above, compacted to 95% relative compaction.</w:t>
      </w:r>
    </w:p>
    <w:p w:rsidR="005965BB" w:rsidRPr="00BC1BEB" w:rsidRDefault="005965BB" w:rsidP="005965BB">
      <w:pPr>
        <w:pStyle w:val="Heading2"/>
        <w:rPr>
          <w:lang w:val="en-AU"/>
        </w:rPr>
      </w:pPr>
      <w:bookmarkStart w:id="123" w:name="_Toc390823474"/>
      <w:bookmarkStart w:id="124" w:name="_Toc391429166"/>
      <w:bookmarkStart w:id="125" w:name="_Toc396034092"/>
      <w:bookmarkStart w:id="126" w:name="_Toc398800275"/>
      <w:r w:rsidRPr="00BC1BEB">
        <w:rPr>
          <w:lang w:val="en-AU"/>
        </w:rPr>
        <w:t>Batter Protection By Grassing</w:t>
      </w:r>
      <w:bookmarkEnd w:id="123"/>
      <w:bookmarkEnd w:id="124"/>
      <w:bookmarkEnd w:id="125"/>
      <w:bookmarkEnd w:id="126"/>
    </w:p>
    <w:p w:rsidR="005965BB" w:rsidRDefault="005965BB" w:rsidP="005965BB">
      <w:r>
        <w:t>For batter protection by grassing by hydroseeding method refer to LANDSCAPE.</w:t>
      </w:r>
    </w:p>
    <w:p w:rsidR="005965BB" w:rsidRPr="00BC1BEB" w:rsidRDefault="005965BB" w:rsidP="005965BB">
      <w:r w:rsidRPr="00BC1BEB">
        <w:t>Fill batters to have a surface layer 100 mm minimum thickness of stripped material.</w:t>
      </w:r>
    </w:p>
    <w:p w:rsidR="005965BB" w:rsidRPr="00BC1BEB" w:rsidRDefault="005965BB" w:rsidP="005965BB">
      <w:pPr>
        <w:pStyle w:val="guidenotes"/>
        <w:rPr>
          <w:lang w:val="en-AU"/>
        </w:rPr>
      </w:pPr>
      <w:r w:rsidRPr="00BC1BEB">
        <w:rPr>
          <w:lang w:val="en-AU"/>
        </w:rPr>
        <w:t>[Indicate on cross sections and add note that this surface layer is additional to the specified cross section]</w:t>
      </w:r>
    </w:p>
    <w:p w:rsidR="005965BB" w:rsidRPr="00BC1BEB" w:rsidRDefault="005965BB" w:rsidP="005965BB">
      <w:pPr>
        <w:pStyle w:val="Heading3"/>
        <w:rPr>
          <w:lang w:val="en-AU"/>
        </w:rPr>
      </w:pPr>
      <w:bookmarkStart w:id="127" w:name="_Toc390823475"/>
      <w:bookmarkStart w:id="128" w:name="_Toc391429167"/>
      <w:bookmarkStart w:id="129" w:name="_Toc396034093"/>
      <w:bookmarkStart w:id="130" w:name="_Toc398800276"/>
      <w:r w:rsidRPr="00BC1BEB">
        <w:rPr>
          <w:lang w:val="en-AU"/>
        </w:rPr>
        <w:t>Grassing</w:t>
      </w:r>
      <w:bookmarkEnd w:id="127"/>
      <w:bookmarkEnd w:id="128"/>
      <w:bookmarkEnd w:id="129"/>
      <w:bookmarkEnd w:id="130"/>
    </w:p>
    <w:p w:rsidR="005965BB" w:rsidRPr="00BC1BEB" w:rsidRDefault="005965BB" w:rsidP="005965BB">
      <w:r>
        <w:t xml:space="preserve">Batters to be treated from chainage </w:t>
      </w:r>
      <w:r w:rsidRPr="00711EDD">
        <w:rPr>
          <w:color w:val="723604"/>
        </w:rPr>
        <w:t>[enter information]</w:t>
      </w:r>
      <w:r>
        <w:t xml:space="preserve"> to chainage</w:t>
      </w:r>
      <w:r w:rsidRPr="00BC1BEB">
        <w:t xml:space="preserve"> </w:t>
      </w:r>
      <w:r w:rsidRPr="00711EDD">
        <w:rPr>
          <w:color w:val="723604"/>
        </w:rPr>
        <w:t>[enter information]</w:t>
      </w:r>
      <w:r w:rsidRPr="004B69D9">
        <w:rPr>
          <w:color w:val="000000"/>
        </w:rPr>
        <w:t>.</w:t>
      </w:r>
    </w:p>
    <w:p w:rsidR="005965BB" w:rsidRPr="00BC1BEB" w:rsidRDefault="005965BB" w:rsidP="005965BB">
      <w:pPr>
        <w:pStyle w:val="guidenotes"/>
        <w:rPr>
          <w:lang w:val="en-AU"/>
        </w:rPr>
      </w:pPr>
      <w:r w:rsidRPr="00BC1BEB">
        <w:rPr>
          <w:lang w:val="en-AU"/>
        </w:rPr>
        <w:t>[Insert chainages or delete if indicated on drawings]</w:t>
      </w:r>
    </w:p>
    <w:p w:rsidR="005965BB" w:rsidRPr="00BC1BEB" w:rsidRDefault="005965BB" w:rsidP="005965BB">
      <w:pPr>
        <w:pStyle w:val="Heading3"/>
        <w:rPr>
          <w:lang w:val="en-AU"/>
        </w:rPr>
      </w:pPr>
      <w:bookmarkStart w:id="131" w:name="_Toc390823476"/>
      <w:bookmarkStart w:id="132" w:name="_Toc391429168"/>
      <w:bookmarkStart w:id="133" w:name="_Toc396034094"/>
      <w:bookmarkStart w:id="134" w:name="_Toc398800277"/>
      <w:r w:rsidRPr="00BC1BEB">
        <w:rPr>
          <w:lang w:val="en-AU"/>
        </w:rPr>
        <w:lastRenderedPageBreak/>
        <w:t>Seed Mixture and Fertiliser</w:t>
      </w:r>
      <w:bookmarkEnd w:id="131"/>
      <w:bookmarkEnd w:id="132"/>
      <w:bookmarkEnd w:id="133"/>
      <w:bookmarkEnd w:id="134"/>
    </w:p>
    <w:p w:rsidR="005965BB" w:rsidRPr="00BC1BEB" w:rsidRDefault="005965BB" w:rsidP="005965BB">
      <w:r w:rsidRPr="00BC1BEB">
        <w:t>Provide certified seed complying with the requirements in the LANDSCAPE Section.</w:t>
      </w:r>
    </w:p>
    <w:p w:rsidR="005965BB" w:rsidRPr="00BC1BEB" w:rsidRDefault="005965BB" w:rsidP="005965BB">
      <w:pPr>
        <w:pStyle w:val="guidenotes"/>
        <w:rPr>
          <w:lang w:val="en-AU"/>
        </w:rPr>
      </w:pPr>
      <w:r w:rsidRPr="00BC1BEB">
        <w:rPr>
          <w:lang w:val="en-AU"/>
        </w:rPr>
        <w:t>[Define which seed mix is to be used]</w:t>
      </w:r>
    </w:p>
    <w:p w:rsidR="005965BB" w:rsidRPr="00BC1BEB" w:rsidRDefault="005965BB" w:rsidP="005965BB">
      <w:r w:rsidRPr="00BC1BEB">
        <w:t xml:space="preserve">Fertiliser to comply with the </w:t>
      </w:r>
      <w:r w:rsidRPr="00735608">
        <w:rPr>
          <w:b/>
          <w:i/>
        </w:rPr>
        <w:t xml:space="preserve">Table - Fertilisers </w:t>
      </w:r>
      <w:r w:rsidRPr="00BC1BEB">
        <w:t>in the LANDSCAPE Section.</w:t>
      </w:r>
    </w:p>
    <w:p w:rsidR="005965BB" w:rsidRPr="00BC1BEB" w:rsidRDefault="005965BB" w:rsidP="005965BB">
      <w:r>
        <w:t xml:space="preserve">Apply at rate of </w:t>
      </w:r>
      <w:r w:rsidRPr="004E46D8">
        <w:rPr>
          <w:color w:val="FF0000"/>
        </w:rPr>
        <w:t>[enter information]</w:t>
      </w:r>
      <w:r w:rsidRPr="00BC1BEB">
        <w:t> kg/ha.</w:t>
      </w:r>
    </w:p>
    <w:p w:rsidR="005965BB" w:rsidRPr="00BC1BEB" w:rsidRDefault="005965BB" w:rsidP="005965BB">
      <w:pPr>
        <w:pStyle w:val="guidenotes"/>
        <w:rPr>
          <w:lang w:val="en-AU"/>
        </w:rPr>
      </w:pPr>
      <w:r>
        <w:rPr>
          <w:lang w:val="en-AU"/>
        </w:rPr>
        <w:t>[NPWS will only allow R</w:t>
      </w:r>
      <w:r w:rsidRPr="00BC1BEB">
        <w:rPr>
          <w:lang w:val="en-AU"/>
        </w:rPr>
        <w:t>hodes grass seeds and seeds native to the parks</w:t>
      </w:r>
      <w:r>
        <w:rPr>
          <w:lang w:val="en-AU"/>
        </w:rPr>
        <w:t xml:space="preserve">. </w:t>
      </w:r>
      <w:r w:rsidRPr="00BC1BEB">
        <w:rPr>
          <w:lang w:val="en-AU"/>
        </w:rPr>
        <w:t>Ensure the LANDSCAPING Section is included]</w:t>
      </w:r>
    </w:p>
    <w:p w:rsidR="005965BB" w:rsidRPr="00BC1BEB" w:rsidRDefault="005965BB" w:rsidP="005965BB">
      <w:pPr>
        <w:pStyle w:val="Heading3"/>
        <w:rPr>
          <w:lang w:val="en-AU"/>
        </w:rPr>
      </w:pPr>
      <w:bookmarkStart w:id="135" w:name="_Toc390823477"/>
      <w:bookmarkStart w:id="136" w:name="_Toc391429169"/>
      <w:bookmarkStart w:id="137" w:name="_Toc396034095"/>
      <w:bookmarkStart w:id="138" w:name="_Toc398800278"/>
      <w:r w:rsidRPr="00BC1BEB">
        <w:rPr>
          <w:lang w:val="en-AU"/>
        </w:rPr>
        <w:t>Grass Seed Application Technique</w:t>
      </w:r>
      <w:bookmarkEnd w:id="135"/>
      <w:bookmarkEnd w:id="136"/>
      <w:bookmarkEnd w:id="137"/>
      <w:bookmarkEnd w:id="138"/>
    </w:p>
    <w:p w:rsidR="005965BB" w:rsidRPr="00BC1BEB" w:rsidRDefault="005965BB" w:rsidP="005965BB">
      <w:r w:rsidRPr="00BC1BEB">
        <w:t>Conform to the LANDSCAPE Section.</w:t>
      </w:r>
    </w:p>
    <w:p w:rsidR="005965BB" w:rsidRPr="00BC1BEB" w:rsidRDefault="005965BB" w:rsidP="005965BB">
      <w:r w:rsidRPr="00BC1BEB">
        <w:t>Fabric protection to be used for all slopes steeper than 3:1</w:t>
      </w:r>
      <w:r>
        <w:t xml:space="preserve">. </w:t>
      </w:r>
      <w:r w:rsidRPr="00BC1BEB">
        <w:t>Fabric protection may consist of using jute mesh or equivalent in conjunction with hydromulching or the use of matting.</w:t>
      </w:r>
    </w:p>
    <w:p w:rsidR="005965BB" w:rsidRPr="00BC1BEB" w:rsidRDefault="005965BB" w:rsidP="005965BB">
      <w:r w:rsidRPr="00BC1BEB">
        <w:t>Smooth batters.</w:t>
      </w:r>
    </w:p>
    <w:p w:rsidR="005965BB" w:rsidRPr="00BC1BEB" w:rsidRDefault="005965BB" w:rsidP="005965BB">
      <w:r w:rsidRPr="00BC1BEB">
        <w:t>Form drains to control stormwater and prevent erosion until batter is grassed.</w:t>
      </w:r>
    </w:p>
    <w:p w:rsidR="005965BB" w:rsidRPr="00BC1BEB" w:rsidRDefault="005965BB" w:rsidP="005965BB">
      <w:r w:rsidRPr="00BC1BEB">
        <w:t>Place "top layer" soil from clearing operations over the batters to a depth of 50 mm.</w:t>
      </w:r>
    </w:p>
    <w:p w:rsidR="005965BB" w:rsidRPr="00BC1BEB" w:rsidRDefault="005965BB" w:rsidP="005965BB">
      <w:r w:rsidRPr="00BC1BEB">
        <w:t>Apply seed mixture, fertiliser, and protection</w:t>
      </w:r>
      <w:r>
        <w:t xml:space="preserve">. </w:t>
      </w:r>
      <w:r w:rsidRPr="00BC1BEB">
        <w:t>Establish grass and keep damp by watering until flowering stage is reached.</w:t>
      </w:r>
    </w:p>
    <w:p w:rsidR="005965BB" w:rsidRPr="00BC1BEB" w:rsidRDefault="005965BB" w:rsidP="005965BB">
      <w:r w:rsidRPr="00BC1BEB">
        <w:t>Repair any erosion.</w:t>
      </w:r>
    </w:p>
    <w:p w:rsidR="005965BB" w:rsidRPr="00BC1BEB" w:rsidRDefault="005965BB" w:rsidP="005965BB">
      <w:r w:rsidRPr="00BC1BEB">
        <w:t>Reseed areas until establishment is achieved.</w:t>
      </w:r>
    </w:p>
    <w:p w:rsidR="005965BB" w:rsidRDefault="005965BB" w:rsidP="005965BB">
      <w:pPr>
        <w:pStyle w:val="Heading3"/>
        <w:rPr>
          <w:lang w:val="en-AU"/>
        </w:rPr>
      </w:pPr>
      <w:bookmarkStart w:id="139" w:name="_Toc390823478"/>
      <w:bookmarkStart w:id="140" w:name="_Toc391429170"/>
      <w:bookmarkStart w:id="141" w:name="_Toc396034096"/>
      <w:bookmarkStart w:id="142" w:name="_Toc398800279"/>
      <w:r w:rsidRPr="00BC1BEB">
        <w:rPr>
          <w:lang w:val="en-AU"/>
        </w:rPr>
        <w:t>Acceptance</w:t>
      </w:r>
      <w:bookmarkEnd w:id="139"/>
      <w:bookmarkEnd w:id="140"/>
      <w:bookmarkEnd w:id="141"/>
      <w:bookmarkEnd w:id="142"/>
    </w:p>
    <w:p w:rsidR="005965BB" w:rsidRDefault="005965BB" w:rsidP="005965BB">
      <w:r>
        <w:t>The minimum quality of grassing required for acceptance is;</w:t>
      </w:r>
    </w:p>
    <w:p w:rsidR="005965BB" w:rsidRPr="00BC1BEB" w:rsidRDefault="005965BB" w:rsidP="005965BB">
      <w:pPr>
        <w:pStyle w:val="Bullet"/>
        <w:tabs>
          <w:tab w:val="clear" w:pos="360"/>
          <w:tab w:val="num" w:pos="1276"/>
        </w:tabs>
        <w:ind w:left="1276" w:hanging="284"/>
      </w:pPr>
      <w:r w:rsidRPr="00BC1BEB">
        <w:t>Establishment shall be uniform.</w:t>
      </w:r>
    </w:p>
    <w:p w:rsidR="005965BB" w:rsidRPr="00BC1BEB" w:rsidRDefault="005965BB" w:rsidP="005965BB">
      <w:pPr>
        <w:pStyle w:val="Bullet"/>
        <w:tabs>
          <w:tab w:val="clear" w:pos="360"/>
          <w:tab w:val="num" w:pos="1276"/>
        </w:tabs>
        <w:ind w:left="1276" w:hanging="284"/>
      </w:pPr>
      <w:r w:rsidRPr="00BC1BEB">
        <w:t>Coverage rate: 98% minimum of total area.</w:t>
      </w:r>
    </w:p>
    <w:p w:rsidR="005965BB" w:rsidRPr="00BC1BEB" w:rsidRDefault="005965BB" w:rsidP="005965BB">
      <w:pPr>
        <w:pStyle w:val="Heading2"/>
        <w:rPr>
          <w:lang w:val="en-AU"/>
        </w:rPr>
      </w:pPr>
      <w:bookmarkStart w:id="143" w:name="_Toc390823479"/>
      <w:bookmarkStart w:id="144" w:name="_Toc391429171"/>
      <w:bookmarkStart w:id="145" w:name="_Toc396034097"/>
      <w:bookmarkStart w:id="146" w:name="_Toc398800280"/>
      <w:r w:rsidRPr="00BC1BEB">
        <w:rPr>
          <w:lang w:val="en-AU"/>
        </w:rPr>
        <w:t>Bridge Foundations</w:t>
      </w:r>
      <w:bookmarkEnd w:id="143"/>
      <w:bookmarkEnd w:id="144"/>
      <w:bookmarkEnd w:id="145"/>
      <w:bookmarkEnd w:id="146"/>
    </w:p>
    <w:p w:rsidR="005965BB" w:rsidRPr="00BC1BEB" w:rsidRDefault="005965BB" w:rsidP="005965BB">
      <w:pPr>
        <w:pStyle w:val="Heading3"/>
        <w:rPr>
          <w:lang w:val="en-AU"/>
        </w:rPr>
      </w:pPr>
      <w:bookmarkStart w:id="147" w:name="_Toc390823480"/>
      <w:bookmarkStart w:id="148" w:name="_Toc391429172"/>
      <w:bookmarkStart w:id="149" w:name="_Toc396034098"/>
      <w:bookmarkStart w:id="150" w:name="_Toc398800281"/>
      <w:r w:rsidRPr="00BC1BEB">
        <w:rPr>
          <w:lang w:val="en-AU"/>
        </w:rPr>
        <w:t>Conditions</w:t>
      </w:r>
      <w:bookmarkEnd w:id="147"/>
      <w:bookmarkEnd w:id="148"/>
      <w:bookmarkEnd w:id="149"/>
      <w:bookmarkEnd w:id="150"/>
    </w:p>
    <w:p w:rsidR="005965BB" w:rsidRPr="00BC1BEB" w:rsidRDefault="005965BB" w:rsidP="005965BB">
      <w:r w:rsidRPr="00BC1BEB">
        <w:t>The data shown on the drawings as to the character and depths of the various strata are approximate only, and no warranty, expressed or implied, is given by the Principal that the same or similar materials will be encountered during the progress of work.</w:t>
      </w:r>
    </w:p>
    <w:p w:rsidR="005965BB" w:rsidRPr="00BC1BEB" w:rsidRDefault="005965BB" w:rsidP="005965BB">
      <w:r w:rsidRPr="00BC1BEB">
        <w:t>Tenderers are advised to inspect copies of the bore logs and the original core samples.</w:t>
      </w:r>
    </w:p>
    <w:p w:rsidR="005965BB" w:rsidRPr="00BC1BEB" w:rsidRDefault="005965BB" w:rsidP="005965BB">
      <w:r w:rsidRPr="00BC1BEB">
        <w:t>Original samples are availab</w:t>
      </w:r>
      <w:r>
        <w:t xml:space="preserve">le for inspection at </w:t>
      </w:r>
      <w:r w:rsidRPr="00711EDD">
        <w:rPr>
          <w:color w:val="723604"/>
        </w:rPr>
        <w:t>[enter information]</w:t>
      </w:r>
      <w:r w:rsidRPr="00BC1BEB">
        <w:t>.</w:t>
      </w:r>
    </w:p>
    <w:p w:rsidR="005965BB" w:rsidRPr="00BC1BEB" w:rsidRDefault="005965BB" w:rsidP="005965BB">
      <w:pPr>
        <w:pStyle w:val="guidenotes"/>
        <w:rPr>
          <w:lang w:val="en-AU"/>
        </w:rPr>
      </w:pPr>
      <w:r w:rsidRPr="00BC1BEB">
        <w:rPr>
          <w:lang w:val="en-AU"/>
        </w:rPr>
        <w:t>[Insert location]</w:t>
      </w:r>
    </w:p>
    <w:p w:rsidR="005965BB" w:rsidRPr="00BC1BEB" w:rsidRDefault="005965BB" w:rsidP="005965BB">
      <w:pPr>
        <w:pStyle w:val="Heading3"/>
        <w:rPr>
          <w:lang w:val="en-AU"/>
        </w:rPr>
      </w:pPr>
      <w:bookmarkStart w:id="151" w:name="_Toc390823481"/>
      <w:bookmarkStart w:id="152" w:name="_Toc391429173"/>
      <w:bookmarkStart w:id="153" w:name="_Toc396034099"/>
      <w:bookmarkStart w:id="154" w:name="_Toc398800282"/>
      <w:r w:rsidRPr="00BC1BEB">
        <w:rPr>
          <w:lang w:val="en-AU"/>
        </w:rPr>
        <w:t>Excavation</w:t>
      </w:r>
      <w:bookmarkEnd w:id="151"/>
      <w:bookmarkEnd w:id="152"/>
      <w:bookmarkEnd w:id="153"/>
      <w:bookmarkEnd w:id="154"/>
    </w:p>
    <w:p w:rsidR="005965BB" w:rsidRPr="00735608" w:rsidRDefault="005965BB" w:rsidP="005965BB">
      <w:pPr>
        <w:pStyle w:val="Heading4"/>
      </w:pPr>
      <w:r w:rsidRPr="00735608">
        <w:t>GENERAL</w:t>
      </w:r>
    </w:p>
    <w:p w:rsidR="005965BB" w:rsidRPr="00BC1BEB" w:rsidRDefault="005965BB" w:rsidP="005965BB">
      <w:r w:rsidRPr="00BC1BEB">
        <w:t>The extent of foundations is specified by dimension and reduced level.</w:t>
      </w:r>
    </w:p>
    <w:p w:rsidR="005965BB" w:rsidRPr="00BC1BEB" w:rsidRDefault="005965BB" w:rsidP="005965BB">
      <w:pPr>
        <w:pStyle w:val="guidenotes"/>
        <w:rPr>
          <w:lang w:val="en-AU"/>
        </w:rPr>
      </w:pPr>
      <w:r w:rsidRPr="00BC1BEB">
        <w:rPr>
          <w:lang w:val="en-AU"/>
        </w:rPr>
        <w:t>[Ensure that levels are given]</w:t>
      </w:r>
    </w:p>
    <w:p w:rsidR="005965BB" w:rsidRPr="00BC1BEB" w:rsidRDefault="005965BB" w:rsidP="005965BB">
      <w:r w:rsidRPr="00BC1BEB">
        <w:t>Excavate to the required lines and levels.</w:t>
      </w:r>
    </w:p>
    <w:p w:rsidR="005965BB" w:rsidRPr="00BC1BEB" w:rsidRDefault="005965BB" w:rsidP="005965BB">
      <w:r w:rsidRPr="00BC1BEB">
        <w:lastRenderedPageBreak/>
        <w:t xml:space="preserve">Dispose of excess material in accordance with </w:t>
      </w:r>
      <w:r>
        <w:t xml:space="preserve">the sub-clause </w:t>
      </w:r>
      <w:r w:rsidRPr="00735608">
        <w:rPr>
          <w:b/>
          <w:i/>
        </w:rPr>
        <w:t>Excess Material</w:t>
      </w:r>
      <w:r>
        <w:t xml:space="preserve"> in the clause </w:t>
      </w:r>
      <w:r w:rsidRPr="00735608">
        <w:rPr>
          <w:b/>
          <w:i/>
        </w:rPr>
        <w:t>Earthworks in Cut</w:t>
      </w:r>
      <w:r>
        <w:t xml:space="preserve"> in this worksection</w:t>
      </w:r>
      <w:r w:rsidRPr="00BC1BEB">
        <w:t>.</w:t>
      </w:r>
    </w:p>
    <w:p w:rsidR="005965BB" w:rsidRPr="00735608" w:rsidRDefault="005965BB" w:rsidP="005965BB">
      <w:pPr>
        <w:pStyle w:val="Heading4"/>
      </w:pPr>
      <w:r w:rsidRPr="00735608">
        <w:t>PREPARATION</w:t>
      </w:r>
      <w:r>
        <w:t xml:space="preserve"> – Hold Point</w:t>
      </w:r>
    </w:p>
    <w:p w:rsidR="005965BB" w:rsidRPr="00BC1BEB" w:rsidRDefault="005965BB" w:rsidP="005965BB">
      <w:r w:rsidRPr="00BC1BEB">
        <w:t>Inspect and record the condition of all structures and services in the adjacent are</w:t>
      </w:r>
      <w:r>
        <w:t>a prior to using pile drivers.</w:t>
      </w:r>
    </w:p>
    <w:p w:rsidR="005965BB" w:rsidRPr="00BC1BEB" w:rsidRDefault="005965BB" w:rsidP="005965BB">
      <w:r w:rsidRPr="00256982">
        <w:rPr>
          <w:b/>
        </w:rPr>
        <w:t>Hold point</w:t>
      </w:r>
      <w:r>
        <w:t xml:space="preserve"> - Obtain </w:t>
      </w:r>
      <w:r w:rsidRPr="00BC1BEB">
        <w:t>Superintendent</w:t>
      </w:r>
      <w:r>
        <w:t>’s agreement with inspection record</w:t>
      </w:r>
      <w:r w:rsidRPr="00BC1BEB">
        <w:t xml:space="preserve"> </w:t>
      </w:r>
      <w:r>
        <w:t>of</w:t>
      </w:r>
      <w:r w:rsidRPr="00BC1BEB">
        <w:t xml:space="preserve"> current conditions.</w:t>
      </w:r>
    </w:p>
    <w:p w:rsidR="005965BB" w:rsidRPr="00BC1BEB" w:rsidRDefault="005965BB" w:rsidP="005965BB">
      <w:r w:rsidRPr="00BC1BEB">
        <w:t>Cut foundation to a firm surface either stepped or roughened, as directed.</w:t>
      </w:r>
    </w:p>
    <w:p w:rsidR="005965BB" w:rsidRPr="00BC1BEB" w:rsidRDefault="005965BB" w:rsidP="005965BB">
      <w:r w:rsidRPr="00BC1BEB">
        <w:t>Remove loose material.</w:t>
      </w:r>
    </w:p>
    <w:p w:rsidR="005965BB" w:rsidRPr="00BC1BEB" w:rsidRDefault="005965BB" w:rsidP="005965BB">
      <w:r w:rsidRPr="00372C0B">
        <w:rPr>
          <w:b/>
        </w:rPr>
        <w:t>Hold point</w:t>
      </w:r>
      <w:r w:rsidRPr="00BC1BEB">
        <w:t xml:space="preserve"> - Obtain the Superintendent’s approval for the foundation surface before placing the blinding concrete.</w:t>
      </w:r>
    </w:p>
    <w:p w:rsidR="005965BB" w:rsidRPr="00BC1BEB" w:rsidRDefault="005965BB" w:rsidP="005965BB">
      <w:r w:rsidRPr="00BC1BEB">
        <w:t>Place a 50 mm thick layer of blinding concrete.</w:t>
      </w:r>
    </w:p>
    <w:p w:rsidR="005965BB" w:rsidRPr="00BC1BEB" w:rsidRDefault="005965BB" w:rsidP="005965BB">
      <w:pPr>
        <w:pStyle w:val="guidenotes"/>
        <w:rPr>
          <w:lang w:val="en-AU"/>
        </w:rPr>
      </w:pPr>
      <w:r w:rsidRPr="00BC1BEB">
        <w:rPr>
          <w:lang w:val="en-AU"/>
        </w:rPr>
        <w:t>[Include if foundation is not homogeneous sound rock]</w:t>
      </w:r>
    </w:p>
    <w:p w:rsidR="005965BB" w:rsidRPr="00735608" w:rsidRDefault="005965BB" w:rsidP="005965BB">
      <w:pPr>
        <w:pStyle w:val="Heading4"/>
      </w:pPr>
      <w:r w:rsidRPr="00735608">
        <w:t>COFFER</w:t>
      </w:r>
      <w:r w:rsidRPr="00735608">
        <w:noBreakHyphen/>
        <w:t>DAMS SHORING AND SHEETING</w:t>
      </w:r>
    </w:p>
    <w:p w:rsidR="005965BB" w:rsidRPr="00BC1BEB" w:rsidRDefault="005965BB" w:rsidP="005965BB">
      <w:r w:rsidRPr="00BC1BEB">
        <w:t>Design any coffer</w:t>
      </w:r>
      <w:r w:rsidRPr="00BC1BEB">
        <w:noBreakHyphen/>
        <w:t>dams</w:t>
      </w:r>
      <w:r>
        <w:t xml:space="preserve"> required for the execution of the works</w:t>
      </w:r>
      <w:r w:rsidRPr="00BC1BEB">
        <w:t>.</w:t>
      </w:r>
    </w:p>
    <w:p w:rsidR="005965BB" w:rsidRPr="00BC1BEB" w:rsidRDefault="005965BB" w:rsidP="005965BB">
      <w:r w:rsidRPr="00BC1BEB">
        <w:t>Construct coffer</w:t>
      </w:r>
      <w:r w:rsidRPr="00BC1BEB">
        <w:noBreakHyphen/>
        <w:t>dams to adequate height and depth and as waterproof as necessary for proper performance.</w:t>
      </w:r>
    </w:p>
    <w:p w:rsidR="005965BB" w:rsidRPr="00BC1BEB" w:rsidRDefault="005965BB" w:rsidP="005965BB">
      <w:r w:rsidRPr="00BC1BEB">
        <w:t>Provide adequate clearance for:</w:t>
      </w:r>
    </w:p>
    <w:p w:rsidR="005965BB" w:rsidRPr="00BC1BEB" w:rsidRDefault="005965BB" w:rsidP="005965BB">
      <w:pPr>
        <w:pStyle w:val="Bullet"/>
        <w:tabs>
          <w:tab w:val="clear" w:pos="360"/>
          <w:tab w:val="num" w:pos="1276"/>
        </w:tabs>
        <w:ind w:left="1276" w:hanging="284"/>
      </w:pPr>
      <w:r w:rsidRPr="00BC1BEB">
        <w:t>construction of forms;</w:t>
      </w:r>
    </w:p>
    <w:p w:rsidR="005965BB" w:rsidRPr="00BC1BEB" w:rsidRDefault="005965BB" w:rsidP="005965BB">
      <w:pPr>
        <w:pStyle w:val="Bullet"/>
        <w:tabs>
          <w:tab w:val="clear" w:pos="360"/>
          <w:tab w:val="num" w:pos="1276"/>
        </w:tabs>
        <w:ind w:left="1276" w:hanging="284"/>
      </w:pPr>
      <w:r w:rsidRPr="00BC1BEB">
        <w:t>inspection of interiors; and</w:t>
      </w:r>
    </w:p>
    <w:p w:rsidR="005965BB" w:rsidRPr="00BC1BEB" w:rsidRDefault="005965BB" w:rsidP="005965BB">
      <w:pPr>
        <w:pStyle w:val="Bullet"/>
        <w:tabs>
          <w:tab w:val="clear" w:pos="360"/>
          <w:tab w:val="num" w:pos="1276"/>
        </w:tabs>
        <w:ind w:left="1276" w:hanging="284"/>
      </w:pPr>
      <w:proofErr w:type="gramStart"/>
      <w:r w:rsidRPr="00BC1BEB">
        <w:t>pumping</w:t>
      </w:r>
      <w:proofErr w:type="gramEnd"/>
      <w:r w:rsidRPr="00BC1BEB">
        <w:t xml:space="preserve"> from outside the forms.</w:t>
      </w:r>
    </w:p>
    <w:p w:rsidR="005965BB" w:rsidRPr="00BC1BEB" w:rsidRDefault="005965BB" w:rsidP="005965BB">
      <w:r w:rsidRPr="00BC1BEB">
        <w:t>Remove shoring and sheeting from inside the excavation.</w:t>
      </w:r>
    </w:p>
    <w:p w:rsidR="005965BB" w:rsidRPr="00BC1BEB" w:rsidRDefault="005965BB" w:rsidP="005965BB">
      <w:r w:rsidRPr="00BC1BEB">
        <w:t>Remove coffer</w:t>
      </w:r>
      <w:r w:rsidRPr="00BC1BEB">
        <w:noBreakHyphen/>
        <w:t>dams, sheeting and the like from the site</w:t>
      </w:r>
      <w:r>
        <w:t xml:space="preserve"> when no longer required</w:t>
      </w:r>
      <w:r w:rsidRPr="00BC1BEB">
        <w:t>.</w:t>
      </w:r>
    </w:p>
    <w:p w:rsidR="005965BB" w:rsidRPr="00BC1BEB" w:rsidRDefault="005965BB" w:rsidP="005965BB">
      <w:r w:rsidRPr="00BC1BEB">
        <w:t>Do not damage the finished structure or disturb adjacent in situ material.</w:t>
      </w:r>
    </w:p>
    <w:p w:rsidR="005965BB" w:rsidRPr="00BC1BEB" w:rsidRDefault="005965BB" w:rsidP="005965BB">
      <w:r w:rsidRPr="00BC1BEB">
        <w:t>Remove obstructions from waterways.</w:t>
      </w:r>
    </w:p>
    <w:p w:rsidR="005965BB" w:rsidRPr="00BC1BEB" w:rsidRDefault="005965BB" w:rsidP="005965BB">
      <w:pPr>
        <w:pStyle w:val="Heading3"/>
        <w:rPr>
          <w:lang w:val="en-AU"/>
        </w:rPr>
      </w:pPr>
      <w:bookmarkStart w:id="155" w:name="_Toc390823482"/>
      <w:bookmarkStart w:id="156" w:name="_Toc391429174"/>
      <w:bookmarkStart w:id="157" w:name="_Toc396034100"/>
      <w:bookmarkStart w:id="158" w:name="_Toc398800283"/>
      <w:r w:rsidRPr="00BC1BEB">
        <w:rPr>
          <w:lang w:val="en-AU"/>
        </w:rPr>
        <w:t>Backfilling</w:t>
      </w:r>
      <w:bookmarkEnd w:id="155"/>
      <w:bookmarkEnd w:id="156"/>
      <w:bookmarkEnd w:id="157"/>
      <w:bookmarkEnd w:id="158"/>
    </w:p>
    <w:p w:rsidR="005965BB" w:rsidRPr="00BC1BEB" w:rsidRDefault="005965BB" w:rsidP="005965BB">
      <w:r w:rsidRPr="00BC1BEB">
        <w:t>Backfill the excavation up to natural surface level with excavated material or select fill.</w:t>
      </w:r>
    </w:p>
    <w:p w:rsidR="005965BB" w:rsidRDefault="005965BB" w:rsidP="005965BB">
      <w:r w:rsidRPr="00BC1BEB">
        <w:t>The excavated material may be used for backfill</w:t>
      </w:r>
      <w:r>
        <w:t xml:space="preserve"> provided it is free of wood,</w:t>
      </w:r>
      <w:r w:rsidRPr="00BC1BEB">
        <w:t xml:space="preserve"> </w:t>
      </w:r>
      <w:r>
        <w:t xml:space="preserve">other organic and </w:t>
      </w:r>
      <w:r w:rsidRPr="00BC1BEB">
        <w:t xml:space="preserve">other extraneous </w:t>
      </w:r>
      <w:r>
        <w:t xml:space="preserve">or deleterious </w:t>
      </w:r>
      <w:r w:rsidRPr="00BC1BEB">
        <w:t>material.</w:t>
      </w:r>
    </w:p>
    <w:p w:rsidR="005965BB" w:rsidRPr="00BC1BEB" w:rsidRDefault="005965BB" w:rsidP="005965BB">
      <w:r>
        <w:t>Mix to a homogeneous material before compacting.</w:t>
      </w:r>
    </w:p>
    <w:p w:rsidR="005965BB" w:rsidRPr="00BC1BEB" w:rsidRDefault="005965BB" w:rsidP="005965BB">
      <w:r w:rsidRPr="00BC1BEB">
        <w:t>Place in horizontal layers not exceeding 150 mm compacted thickness.</w:t>
      </w:r>
    </w:p>
    <w:p w:rsidR="005965BB" w:rsidRPr="00BC1BEB" w:rsidRDefault="005965BB" w:rsidP="005965BB">
      <w:r w:rsidRPr="00BC1BEB">
        <w:t xml:space="preserve">Compact to the density ratio specified in the </w:t>
      </w:r>
      <w:r w:rsidRPr="00735608">
        <w:rPr>
          <w:b/>
          <w:i/>
        </w:rPr>
        <w:t xml:space="preserve">Table </w:t>
      </w:r>
      <w:r>
        <w:rPr>
          <w:b/>
          <w:i/>
        </w:rPr>
        <w:t>- Dry Density Ratios f</w:t>
      </w:r>
      <w:r w:rsidRPr="00735608">
        <w:rPr>
          <w:b/>
          <w:i/>
        </w:rPr>
        <w:t>or Conformance</w:t>
      </w:r>
      <w:r w:rsidRPr="00BC1BEB">
        <w:t xml:space="preserve"> in the CONFORMANCE TESTING section.</w:t>
      </w:r>
    </w:p>
    <w:p w:rsidR="005965BB" w:rsidRPr="00BC1BEB" w:rsidRDefault="005965BB" w:rsidP="005965BB">
      <w:r w:rsidRPr="00BC1BEB">
        <w:t>Compact using equipment that will not damage the bridge substructure.</w:t>
      </w:r>
    </w:p>
    <w:p w:rsidR="005965BB" w:rsidRPr="00BC1BEB" w:rsidRDefault="005965BB" w:rsidP="005965BB">
      <w:pPr>
        <w:pStyle w:val="Heading2"/>
        <w:rPr>
          <w:lang w:val="en-AU"/>
        </w:rPr>
      </w:pPr>
      <w:bookmarkStart w:id="159" w:name="_Toc390823483"/>
      <w:bookmarkStart w:id="160" w:name="_Toc391429175"/>
      <w:bookmarkStart w:id="161" w:name="_Toc396034101"/>
      <w:bookmarkStart w:id="162" w:name="_Toc398800284"/>
      <w:r w:rsidRPr="00BC1BEB">
        <w:rPr>
          <w:lang w:val="en-AU"/>
        </w:rPr>
        <w:t>Fill Adjacent To Bridge Structures</w:t>
      </w:r>
      <w:bookmarkEnd w:id="159"/>
      <w:bookmarkEnd w:id="160"/>
      <w:bookmarkEnd w:id="161"/>
      <w:bookmarkEnd w:id="162"/>
    </w:p>
    <w:p w:rsidR="005965BB" w:rsidRPr="00A10030" w:rsidRDefault="005965BB" w:rsidP="005965BB">
      <w:r w:rsidRPr="00A10030">
        <w:t>GENERAL</w:t>
      </w:r>
    </w:p>
    <w:p w:rsidR="005965BB" w:rsidRPr="00BC1BEB" w:rsidRDefault="005965BB" w:rsidP="005965BB">
      <w:r w:rsidRPr="00BC1BEB">
        <w:t>Fill includes preparation of the fill area, supply, placing and compacting fill, drainage layers and piping, disposal of unsuitable material and trimming and protection of batters.</w:t>
      </w:r>
    </w:p>
    <w:p w:rsidR="005965BB" w:rsidRPr="00BC1BEB" w:rsidRDefault="005965BB" w:rsidP="005965BB">
      <w:pPr>
        <w:pStyle w:val="guidenotes"/>
        <w:rPr>
          <w:lang w:val="en-AU"/>
        </w:rPr>
      </w:pPr>
      <w:r w:rsidRPr="00BC1BEB">
        <w:rPr>
          <w:lang w:val="en-AU"/>
        </w:rPr>
        <w:lastRenderedPageBreak/>
        <w:t>[Delete processes not required]</w:t>
      </w:r>
    </w:p>
    <w:p w:rsidR="005965BB" w:rsidRPr="00BC1BEB" w:rsidRDefault="005965BB" w:rsidP="005965BB">
      <w:r w:rsidRPr="00BC1BEB">
        <w:t>Place select fill against structures after 14 days from date of casting or after test results confirm 70% of characteristic concrete strength achieved.</w:t>
      </w:r>
    </w:p>
    <w:p w:rsidR="005965BB" w:rsidRPr="00BC1BEB" w:rsidRDefault="005965BB" w:rsidP="005965BB">
      <w:r w:rsidRPr="00BC1BEB">
        <w:t>Avoid unbalanced loading on structures.</w:t>
      </w:r>
    </w:p>
    <w:p w:rsidR="005965BB" w:rsidRPr="00BC1BEB" w:rsidRDefault="005965BB" w:rsidP="005965BB">
      <w:r w:rsidRPr="00BC1BEB">
        <w:t>Do not operate mechanically driven vibrating rollers exceeding 1 tonne within 3 metres of the structures.</w:t>
      </w:r>
    </w:p>
    <w:p w:rsidR="005965BB" w:rsidRPr="00A10030" w:rsidRDefault="005965BB" w:rsidP="005965BB">
      <w:r w:rsidRPr="00A10030">
        <w:t>ABUTMENTS AND WINGWALLS</w:t>
      </w:r>
    </w:p>
    <w:p w:rsidR="005965BB" w:rsidRPr="00BC1BEB" w:rsidRDefault="005965BB" w:rsidP="005965BB">
      <w:r w:rsidRPr="00BC1BEB">
        <w:t>Prepare the area as specified.</w:t>
      </w:r>
    </w:p>
    <w:p w:rsidR="005965BB" w:rsidRPr="00BC1BEB" w:rsidRDefault="005965BB" w:rsidP="005965BB">
      <w:r w:rsidRPr="00BC1BEB">
        <w:t xml:space="preserve">Compact select fill in horizontal layers not exceeding 150 mm compacted thickness in areas adjacent to abutments and wing walls extending horizontally </w:t>
      </w:r>
      <w:r>
        <w:t xml:space="preserve">a distance equal to </w:t>
      </w:r>
      <w:r w:rsidRPr="00BC1BEB">
        <w:t>two times the height of the adjacent structure</w:t>
      </w:r>
      <w:r>
        <w:t>,</w:t>
      </w:r>
      <w:r w:rsidRPr="00BC1BEB">
        <w:t xml:space="preserve"> or as specified.</w:t>
      </w:r>
    </w:p>
    <w:p w:rsidR="005965BB" w:rsidRPr="00BC1BEB" w:rsidRDefault="005965BB" w:rsidP="005965BB">
      <w:r w:rsidRPr="00BC1BEB">
        <w:t>Prevent water from ponding behind abutments and wing walls.</w:t>
      </w:r>
    </w:p>
    <w:p w:rsidR="005965BB" w:rsidRPr="00BC1BEB" w:rsidRDefault="005965BB" w:rsidP="005965BB">
      <w:r w:rsidRPr="00BC1BEB">
        <w:t>Provide weep holes and drain pipes as specified.</w:t>
      </w:r>
    </w:p>
    <w:p w:rsidR="005965BB" w:rsidRPr="00BC1BEB" w:rsidRDefault="005965BB" w:rsidP="005965BB">
      <w:pPr>
        <w:pStyle w:val="Heading2"/>
        <w:rPr>
          <w:lang w:val="en-AU"/>
        </w:rPr>
      </w:pPr>
      <w:bookmarkStart w:id="163" w:name="_Toc390823484"/>
      <w:bookmarkStart w:id="164" w:name="_Toc391429176"/>
      <w:bookmarkStart w:id="165" w:name="_Toc396034102"/>
      <w:bookmarkStart w:id="166" w:name="_Toc398800285"/>
      <w:r w:rsidRPr="00BC1BEB">
        <w:rPr>
          <w:lang w:val="en-AU"/>
        </w:rPr>
        <w:t>Compaction</w:t>
      </w:r>
      <w:bookmarkEnd w:id="163"/>
      <w:bookmarkEnd w:id="164"/>
      <w:bookmarkEnd w:id="165"/>
      <w:bookmarkEnd w:id="166"/>
    </w:p>
    <w:p w:rsidR="005965BB" w:rsidRPr="00BC1BEB" w:rsidRDefault="005965BB" w:rsidP="005965BB">
      <w:pPr>
        <w:pStyle w:val="guidenotes"/>
        <w:rPr>
          <w:lang w:val="en-AU"/>
        </w:rPr>
      </w:pPr>
      <w:r w:rsidRPr="00BC1BEB">
        <w:rPr>
          <w:lang w:val="en-AU"/>
        </w:rPr>
        <w:t>[Delete items not required</w:t>
      </w:r>
      <w:r>
        <w:rPr>
          <w:lang w:val="en-AU"/>
        </w:rPr>
        <w:t xml:space="preserve">. </w:t>
      </w:r>
      <w:r w:rsidRPr="00BC1BEB">
        <w:rPr>
          <w:lang w:val="en-AU"/>
        </w:rPr>
        <w:t>Edit specified compaction as required]</w:t>
      </w:r>
    </w:p>
    <w:p w:rsidR="005965BB" w:rsidRPr="00BC1BEB" w:rsidRDefault="005965BB" w:rsidP="005965BB">
      <w:r w:rsidRPr="00BC1BEB">
        <w:t xml:space="preserve">Mix to a homogeneous material and compact with no compaction planes and free of cracking to conform to the Dry Density Ratios specified in the </w:t>
      </w:r>
      <w:r w:rsidRPr="00A10030">
        <w:rPr>
          <w:b/>
          <w:i/>
        </w:rPr>
        <w:t xml:space="preserve">Table - Dry Density Ratios </w:t>
      </w:r>
      <w:proofErr w:type="gramStart"/>
      <w:r w:rsidRPr="00A10030">
        <w:rPr>
          <w:b/>
          <w:i/>
        </w:rPr>
        <w:t>For</w:t>
      </w:r>
      <w:proofErr w:type="gramEnd"/>
      <w:r w:rsidRPr="00A10030">
        <w:rPr>
          <w:b/>
          <w:i/>
        </w:rPr>
        <w:t xml:space="preserve"> Conformance </w:t>
      </w:r>
      <w:r w:rsidRPr="00BC1BEB">
        <w:t>in the CONFORMANCE TE</w:t>
      </w:r>
      <w:r>
        <w:t>STING section and the following conformance clause.</w:t>
      </w:r>
    </w:p>
    <w:p w:rsidR="005965BB" w:rsidRPr="00BC1BEB" w:rsidRDefault="005965BB" w:rsidP="005965BB">
      <w:pPr>
        <w:pStyle w:val="Heading2"/>
        <w:rPr>
          <w:lang w:val="en-AU"/>
        </w:rPr>
      </w:pPr>
      <w:bookmarkStart w:id="167" w:name="_Toc390823485"/>
      <w:bookmarkStart w:id="168" w:name="_Toc391429177"/>
      <w:bookmarkStart w:id="169" w:name="_Toc396034103"/>
      <w:bookmarkStart w:id="170" w:name="_Toc398800286"/>
      <w:r w:rsidRPr="00BC1BEB">
        <w:rPr>
          <w:lang w:val="en-AU"/>
        </w:rPr>
        <w:t>Conformance</w:t>
      </w:r>
      <w:bookmarkEnd w:id="167"/>
      <w:bookmarkEnd w:id="168"/>
      <w:bookmarkEnd w:id="169"/>
      <w:bookmarkEnd w:id="170"/>
    </w:p>
    <w:p w:rsidR="005965BB" w:rsidRPr="00BC1BEB" w:rsidRDefault="005965BB" w:rsidP="005965BB">
      <w:pPr>
        <w:pStyle w:val="Heading3"/>
        <w:rPr>
          <w:lang w:val="en-AU"/>
        </w:rPr>
      </w:pPr>
      <w:bookmarkStart w:id="171" w:name="_Toc390823486"/>
      <w:bookmarkStart w:id="172" w:name="_Toc391429178"/>
      <w:bookmarkStart w:id="173" w:name="_Toc396034104"/>
      <w:bookmarkStart w:id="174" w:name="_Toc398800287"/>
      <w:r w:rsidRPr="00BC1BEB">
        <w:rPr>
          <w:lang w:val="en-AU"/>
        </w:rPr>
        <w:t>Existing Surface Levels</w:t>
      </w:r>
      <w:bookmarkEnd w:id="171"/>
      <w:bookmarkEnd w:id="172"/>
      <w:bookmarkEnd w:id="173"/>
      <w:bookmarkEnd w:id="174"/>
      <w:r>
        <w:rPr>
          <w:lang w:val="en-AU"/>
        </w:rPr>
        <w:t xml:space="preserve"> – Witness Point</w:t>
      </w:r>
    </w:p>
    <w:p w:rsidR="005965BB" w:rsidRPr="00BC1BEB" w:rsidRDefault="005965BB" w:rsidP="005965BB">
      <w:r w:rsidRPr="004F7A45">
        <w:rPr>
          <w:b/>
        </w:rPr>
        <w:t>Witness point</w:t>
      </w:r>
      <w:r>
        <w:t xml:space="preserve"> </w:t>
      </w:r>
      <w:r w:rsidRPr="00BC1BEB">
        <w:t>- Obtain inspections of any disputed existing surface levels with the Superintendent prior to any stripping or earthworks operations.</w:t>
      </w:r>
    </w:p>
    <w:p w:rsidR="005965BB" w:rsidRPr="00BC1BEB" w:rsidRDefault="005965BB" w:rsidP="005965BB">
      <w:r w:rsidRPr="00BC1BEB">
        <w:t>Quantities are based on the existing surface levels prior to the stripping of the top layer.</w:t>
      </w:r>
    </w:p>
    <w:p w:rsidR="005965BB" w:rsidRPr="00BC1BEB" w:rsidRDefault="005965BB" w:rsidP="005965BB">
      <w:r w:rsidRPr="00BC1BEB">
        <w:t>Allow for suitable material to replace the stripped lay</w:t>
      </w:r>
      <w:r w:rsidR="005A0B13">
        <w:t>er (Cut and Fill) in the items in this work section</w:t>
      </w:r>
      <w:r w:rsidRPr="00BC1BEB">
        <w:t>.</w:t>
      </w:r>
    </w:p>
    <w:p w:rsidR="005965BB" w:rsidRPr="00BC1BEB" w:rsidRDefault="005965BB" w:rsidP="005965BB">
      <w:pPr>
        <w:pStyle w:val="guidenotes"/>
        <w:rPr>
          <w:lang w:val="en-AU"/>
        </w:rPr>
      </w:pPr>
      <w:r w:rsidRPr="00BC1BEB">
        <w:rPr>
          <w:lang w:val="en-AU"/>
        </w:rPr>
        <w:t>[Delete when there is no stripping of topsoil]</w:t>
      </w:r>
    </w:p>
    <w:p w:rsidR="005965BB" w:rsidRPr="00BC1BEB" w:rsidRDefault="005965BB" w:rsidP="005965BB">
      <w:pPr>
        <w:pStyle w:val="Heading3"/>
        <w:rPr>
          <w:lang w:val="en-AU"/>
        </w:rPr>
      </w:pPr>
      <w:bookmarkStart w:id="175" w:name="_Toc390823487"/>
      <w:bookmarkStart w:id="176" w:name="_Toc391429179"/>
      <w:bookmarkStart w:id="177" w:name="_Toc396034105"/>
      <w:bookmarkStart w:id="178" w:name="_Toc398800288"/>
      <w:r w:rsidRPr="00BC1BEB">
        <w:rPr>
          <w:lang w:val="en-AU"/>
        </w:rPr>
        <w:t>Tolerances</w:t>
      </w:r>
      <w:bookmarkEnd w:id="175"/>
      <w:bookmarkEnd w:id="176"/>
      <w:bookmarkEnd w:id="177"/>
      <w:bookmarkEnd w:id="178"/>
    </w:p>
    <w:p w:rsidR="005965BB" w:rsidRPr="00BC1BEB" w:rsidRDefault="005965BB" w:rsidP="005965BB">
      <w:pPr>
        <w:tabs>
          <w:tab w:val="left" w:pos="2835"/>
        </w:tabs>
      </w:pPr>
      <w:r w:rsidRPr="00BC1BEB">
        <w:t>Finish earthworks to a smooth compacted and uniform surface within the following limits:</w:t>
      </w:r>
    </w:p>
    <w:p w:rsidR="005965BB" w:rsidRPr="00BC1BEB" w:rsidRDefault="005965BB" w:rsidP="005965BB">
      <w:pPr>
        <w:tabs>
          <w:tab w:val="left" w:pos="2835"/>
        </w:tabs>
      </w:pPr>
      <w:r w:rsidRPr="00BC1BEB">
        <w:t>Formation Width:</w:t>
      </w:r>
      <w:r w:rsidRPr="00BC1BEB">
        <w:tab/>
        <w:t>Not less than specified.</w:t>
      </w:r>
    </w:p>
    <w:p w:rsidR="005965BB" w:rsidRPr="00BC1BEB" w:rsidRDefault="005965BB" w:rsidP="005965BB">
      <w:pPr>
        <w:tabs>
          <w:tab w:val="left" w:pos="2835"/>
        </w:tabs>
      </w:pPr>
      <w:r w:rsidRPr="00BC1BEB">
        <w:t>Subgrade Surface:</w:t>
      </w:r>
      <w:r w:rsidRPr="00BC1BEB">
        <w:tab/>
        <w:t>Maximum 25 mm below and not above specified level.</w:t>
      </w:r>
    </w:p>
    <w:p w:rsidR="005965BB" w:rsidRPr="00BC1BEB" w:rsidRDefault="005965BB" w:rsidP="005965BB">
      <w:pPr>
        <w:tabs>
          <w:tab w:val="left" w:pos="2835"/>
        </w:tabs>
        <w:ind w:left="2835" w:hanging="2835"/>
      </w:pPr>
      <w:r w:rsidRPr="00BC1BEB">
        <w:t>Subgrade Width:</w:t>
      </w:r>
      <w:r w:rsidRPr="00BC1BEB">
        <w:tab/>
        <w:t>Not less than specified</w:t>
      </w:r>
      <w:r>
        <w:t xml:space="preserve">. </w:t>
      </w:r>
      <w:r w:rsidRPr="00BC1BEB">
        <w:t>Extend 150 mm minimum beyond the back of kerb.</w:t>
      </w:r>
    </w:p>
    <w:p w:rsidR="005965BB" w:rsidRPr="00BC1BEB" w:rsidRDefault="005965BB" w:rsidP="005965BB">
      <w:pPr>
        <w:pStyle w:val="guidenotes"/>
        <w:rPr>
          <w:lang w:val="en-AU"/>
        </w:rPr>
      </w:pPr>
      <w:r w:rsidRPr="00BC1BEB">
        <w:rPr>
          <w:lang w:val="en-AU"/>
        </w:rPr>
        <w:t>Delete when there is no kerbing]</w:t>
      </w:r>
    </w:p>
    <w:p w:rsidR="005965BB" w:rsidRPr="00BC1BEB" w:rsidRDefault="005965BB" w:rsidP="005965BB">
      <w:pPr>
        <w:tabs>
          <w:tab w:val="left" w:pos="2835"/>
        </w:tabs>
      </w:pPr>
      <w:r w:rsidRPr="00BC1BEB">
        <w:t>Batter:</w:t>
      </w:r>
      <w:r w:rsidRPr="00BC1BEB">
        <w:tab/>
        <w:t>Not steeper than the specified slope.</w:t>
      </w:r>
    </w:p>
    <w:p w:rsidR="005965BB" w:rsidRPr="00BC1BEB" w:rsidRDefault="005965BB" w:rsidP="005965BB">
      <w:pPr>
        <w:tabs>
          <w:tab w:val="left" w:pos="2835"/>
        </w:tabs>
        <w:ind w:left="2835"/>
      </w:pPr>
      <w:r w:rsidRPr="00BC1BEB">
        <w:t>Maximum variation at any point from specified plane of batter shall be 150 mm in earth and 300 mm in rock.</w:t>
      </w:r>
    </w:p>
    <w:p w:rsidR="005965BB" w:rsidRPr="00BC1BEB" w:rsidRDefault="005965BB" w:rsidP="005965BB">
      <w:r w:rsidRPr="00BC1BEB">
        <w:t>Unpaved Areas/</w:t>
      </w:r>
      <w:r w:rsidRPr="001D4044">
        <w:t xml:space="preserve"> </w:t>
      </w:r>
      <w:r w:rsidRPr="00BC1BEB">
        <w:t>Table Drain Invert:</w:t>
      </w:r>
      <w:r w:rsidRPr="00BC1BEB">
        <w:tab/>
      </w:r>
    </w:p>
    <w:p w:rsidR="005965BB" w:rsidRDefault="005965BB" w:rsidP="005965BB">
      <w:pPr>
        <w:tabs>
          <w:tab w:val="left" w:pos="2835"/>
        </w:tabs>
        <w:ind w:left="2835" w:hanging="2835"/>
      </w:pPr>
      <w:r w:rsidRPr="00BC1BEB">
        <w:tab/>
        <w:t>Maximum 75 mm above or below specified level, free of depressions capable of ponding water.</w:t>
      </w:r>
      <w:r>
        <w:t xml:space="preserve"> </w:t>
      </w:r>
      <w:r w:rsidRPr="00BC1BEB">
        <w:t>Maximum 40 mm adjacent to kerbs.</w:t>
      </w:r>
    </w:p>
    <w:p w:rsidR="005965BB" w:rsidRPr="00BC1BEB" w:rsidRDefault="005965BB" w:rsidP="005965BB">
      <w:r>
        <w:lastRenderedPageBreak/>
        <w:t>Works must also conform to the requirements in</w:t>
      </w:r>
      <w:r>
        <w:rPr>
          <w:i/>
        </w:rPr>
        <w:t xml:space="preserve"> </w:t>
      </w:r>
      <w:r w:rsidRPr="00EB1682">
        <w:rPr>
          <w:b/>
          <w:i/>
        </w:rPr>
        <w:t>Table – Relative height tolerances for new works abutting existing works</w:t>
      </w:r>
      <w:r>
        <w:t xml:space="preserve"> in PAVEMENTS AND SHOULDERS.</w:t>
      </w:r>
    </w:p>
    <w:p w:rsidR="005965BB" w:rsidRPr="00BC1BEB" w:rsidRDefault="005965BB" w:rsidP="005965BB">
      <w:pPr>
        <w:pStyle w:val="Heading3"/>
        <w:rPr>
          <w:snapToGrid w:val="0"/>
          <w:lang w:val="en-AU" w:eastAsia="en-US"/>
        </w:rPr>
      </w:pPr>
      <w:r w:rsidRPr="00BC1BEB">
        <w:rPr>
          <w:snapToGrid w:val="0"/>
          <w:lang w:val="en-AU" w:eastAsia="en-US"/>
        </w:rPr>
        <w:t>Proof Rolling</w:t>
      </w:r>
      <w:r>
        <w:rPr>
          <w:snapToGrid w:val="0"/>
          <w:lang w:val="en-AU" w:eastAsia="en-US"/>
        </w:rPr>
        <w:t xml:space="preserve"> –</w:t>
      </w:r>
      <w:r w:rsidRPr="00BC1BEB">
        <w:rPr>
          <w:snapToGrid w:val="0"/>
          <w:lang w:val="en-AU" w:eastAsia="en-US"/>
        </w:rPr>
        <w:t xml:space="preserve"> </w:t>
      </w:r>
      <w:r>
        <w:rPr>
          <w:snapToGrid w:val="0"/>
          <w:lang w:val="en-AU" w:eastAsia="en-US"/>
        </w:rPr>
        <w:t>Hold point –</w:t>
      </w:r>
      <w:r w:rsidRPr="00BC1BEB">
        <w:rPr>
          <w:snapToGrid w:val="0"/>
          <w:lang w:val="en-AU" w:eastAsia="en-US"/>
        </w:rPr>
        <w:t xml:space="preserve"> </w:t>
      </w:r>
      <w:r>
        <w:rPr>
          <w:snapToGrid w:val="0"/>
          <w:lang w:val="en-AU" w:eastAsia="en-US"/>
        </w:rPr>
        <w:t>Witness Point</w:t>
      </w:r>
    </w:p>
    <w:p w:rsidR="005965BB" w:rsidRPr="00BC1BEB" w:rsidRDefault="005965BB" w:rsidP="005965BB">
      <w:pPr>
        <w:rPr>
          <w:snapToGrid w:val="0"/>
        </w:rPr>
      </w:pPr>
      <w:r w:rsidRPr="00BC1BEB">
        <w:rPr>
          <w:snapToGrid w:val="0"/>
        </w:rPr>
        <w:t xml:space="preserve">Proof roll all areas </w:t>
      </w:r>
      <w:r>
        <w:rPr>
          <w:snapToGrid w:val="0"/>
        </w:rPr>
        <w:t>to the satisfaction of the Superintendent</w:t>
      </w:r>
      <w:r w:rsidRPr="00BC1BEB">
        <w:rPr>
          <w:snapToGrid w:val="0"/>
        </w:rPr>
        <w:t>.</w:t>
      </w:r>
    </w:p>
    <w:p w:rsidR="005965BB" w:rsidRDefault="005965BB" w:rsidP="005965BB">
      <w:pPr>
        <w:rPr>
          <w:snapToGrid w:val="0"/>
        </w:rPr>
      </w:pPr>
      <w:r w:rsidRPr="004F7A45">
        <w:rPr>
          <w:b/>
          <w:snapToGrid w:val="0"/>
        </w:rPr>
        <w:t>Hold point</w:t>
      </w:r>
      <w:r>
        <w:rPr>
          <w:snapToGrid w:val="0"/>
        </w:rPr>
        <w:t xml:space="preserve"> - S</w:t>
      </w:r>
      <w:r w:rsidRPr="00BC1BEB">
        <w:rPr>
          <w:snapToGrid w:val="0"/>
        </w:rPr>
        <w:t xml:space="preserve">ubmit a proof rolling procedure to the Superintendent for approval including the </w:t>
      </w:r>
      <w:r>
        <w:rPr>
          <w:snapToGrid w:val="0"/>
        </w:rPr>
        <w:t>proposed method of preparing the</w:t>
      </w:r>
      <w:r w:rsidRPr="00BC1BEB">
        <w:rPr>
          <w:snapToGrid w:val="0"/>
        </w:rPr>
        <w:t xml:space="preserve"> area</w:t>
      </w:r>
      <w:r>
        <w:rPr>
          <w:snapToGrid w:val="0"/>
        </w:rPr>
        <w:t>s,</w:t>
      </w:r>
      <w:r w:rsidRPr="00BC1BEB">
        <w:rPr>
          <w:snapToGrid w:val="0"/>
        </w:rPr>
        <w:t xml:space="preserve"> the extent of proof rolling</w:t>
      </w:r>
      <w:r>
        <w:rPr>
          <w:snapToGrid w:val="0"/>
        </w:rPr>
        <w:t>, and details of the plant and / or equipment proposed to be used</w:t>
      </w:r>
      <w:r w:rsidRPr="00BC1BEB">
        <w:rPr>
          <w:snapToGrid w:val="0"/>
        </w:rPr>
        <w:t>.</w:t>
      </w:r>
    </w:p>
    <w:p w:rsidR="005965BB" w:rsidRPr="00617348" w:rsidRDefault="005965BB" w:rsidP="005965BB">
      <w:pPr>
        <w:rPr>
          <w:b/>
          <w:snapToGrid w:val="0"/>
          <w:lang w:eastAsia="en-US"/>
        </w:rPr>
      </w:pPr>
      <w:r w:rsidRPr="00617348">
        <w:rPr>
          <w:b/>
          <w:snapToGrid w:val="0"/>
          <w:lang w:eastAsia="en-US"/>
        </w:rPr>
        <w:t>Plant Requirements</w:t>
      </w:r>
    </w:p>
    <w:p w:rsidR="005965BB" w:rsidRPr="00BC1BEB" w:rsidRDefault="005965BB" w:rsidP="005965BB">
      <w:pPr>
        <w:rPr>
          <w:snapToGrid w:val="0"/>
          <w:lang w:eastAsia="en-US"/>
        </w:rPr>
      </w:pPr>
      <w:r>
        <w:rPr>
          <w:snapToGrid w:val="0"/>
          <w:lang w:eastAsia="en-US"/>
        </w:rPr>
        <w:t>U</w:t>
      </w:r>
      <w:r w:rsidRPr="00BC1BEB">
        <w:rPr>
          <w:snapToGrid w:val="0"/>
          <w:lang w:eastAsia="en-US"/>
        </w:rPr>
        <w:t>se plant in proof rolling procedures that comply with the following requirements:</w:t>
      </w:r>
    </w:p>
    <w:p w:rsidR="005965BB" w:rsidRDefault="005965BB" w:rsidP="005965BB">
      <w:pPr>
        <w:pStyle w:val="Bullet"/>
        <w:tabs>
          <w:tab w:val="clear" w:pos="360"/>
          <w:tab w:val="num" w:pos="1276"/>
        </w:tabs>
        <w:ind w:left="1276" w:hanging="284"/>
      </w:pPr>
      <w:r>
        <w:t>For urban areas only, fully loaded water cart, minimum size 12tonne, on standard pneumatic road tyres, fully inflated.</w:t>
      </w:r>
    </w:p>
    <w:p w:rsidR="005965BB" w:rsidRDefault="005965BB" w:rsidP="005965BB">
      <w:pPr>
        <w:pStyle w:val="Bullet"/>
        <w:tabs>
          <w:tab w:val="clear" w:pos="360"/>
          <w:tab w:val="num" w:pos="1276"/>
        </w:tabs>
        <w:ind w:left="1276" w:hanging="284"/>
      </w:pPr>
      <w:r>
        <w:t>Fully loaded, minimum single trailer articulated heavy vehicle, on standard pneumatic road tyres, fully inflated.</w:t>
      </w:r>
    </w:p>
    <w:p w:rsidR="005965BB" w:rsidRDefault="005965BB" w:rsidP="005965BB">
      <w:pPr>
        <w:pStyle w:val="Bullet"/>
        <w:tabs>
          <w:tab w:val="clear" w:pos="360"/>
          <w:tab w:val="num" w:pos="1276"/>
        </w:tabs>
        <w:ind w:left="1276" w:hanging="284"/>
      </w:pPr>
      <w:r>
        <w:t>Pneumatic tyred compaction plant with a mass of not less than 20 tonnes and with a ground contact pressure under either the front or rear wheels of not less than 450 kPa per tyre and a ground contact area of not less than .035 m</w:t>
      </w:r>
      <w:r w:rsidRPr="000441C4">
        <w:rPr>
          <w:vertAlign w:val="superscript"/>
        </w:rPr>
        <w:t>2</w:t>
      </w:r>
      <w:r>
        <w:t xml:space="preserve"> per tyre.</w:t>
      </w:r>
    </w:p>
    <w:p w:rsidR="005965BB" w:rsidRDefault="005965BB" w:rsidP="005965BB">
      <w:pPr>
        <w:pStyle w:val="Bullet"/>
        <w:tabs>
          <w:tab w:val="clear" w:pos="360"/>
          <w:tab w:val="num" w:pos="1276"/>
        </w:tabs>
        <w:ind w:left="1276" w:hanging="284"/>
      </w:pPr>
      <w:r>
        <w:t>Do not use flat drum rollers.</w:t>
      </w:r>
    </w:p>
    <w:p w:rsidR="005965BB" w:rsidRPr="00BC1BEB" w:rsidRDefault="005965BB" w:rsidP="005965BB">
      <w:pPr>
        <w:rPr>
          <w:snapToGrid w:val="0"/>
        </w:rPr>
      </w:pPr>
      <w:r w:rsidRPr="004F7A45">
        <w:rPr>
          <w:b/>
          <w:snapToGrid w:val="0"/>
        </w:rPr>
        <w:t>Witness point</w:t>
      </w:r>
      <w:r>
        <w:rPr>
          <w:snapToGrid w:val="0"/>
        </w:rPr>
        <w:t xml:space="preserve"> -</w:t>
      </w:r>
      <w:r w:rsidRPr="00BC1BEB">
        <w:rPr>
          <w:snapToGrid w:val="0"/>
        </w:rPr>
        <w:t xml:space="preserve"> Give the Superintendent not less than 24 </w:t>
      </w:r>
      <w:proofErr w:type="spellStart"/>
      <w:r w:rsidRPr="00BC1BEB">
        <w:rPr>
          <w:snapToGrid w:val="0"/>
        </w:rPr>
        <w:t>hours notice</w:t>
      </w:r>
      <w:proofErr w:type="spellEnd"/>
      <w:r w:rsidRPr="00BC1BEB">
        <w:rPr>
          <w:snapToGrid w:val="0"/>
        </w:rPr>
        <w:t xml:space="preserve"> of the location and commencement time for the proof rolling.</w:t>
      </w:r>
      <w:r>
        <w:rPr>
          <w:snapToGrid w:val="0"/>
        </w:rPr>
        <w:t xml:space="preserve"> Give 48hrs notice for remote work (greater than 5hrs travel one way from regional centre)</w:t>
      </w:r>
      <w:r w:rsidRPr="00BC1BEB">
        <w:rPr>
          <w:snapToGrid w:val="0"/>
        </w:rPr>
        <w:t>.</w:t>
      </w:r>
    </w:p>
    <w:p w:rsidR="005965BB" w:rsidRPr="00BC1BEB" w:rsidRDefault="005965BB" w:rsidP="005965BB">
      <w:r w:rsidRPr="00BC1BEB">
        <w:t>Check areas for level tolerance and layer thickness before proof rolling.</w:t>
      </w:r>
    </w:p>
    <w:p w:rsidR="005965BB" w:rsidRPr="00BC1BEB" w:rsidRDefault="005965BB" w:rsidP="005965BB">
      <w:pPr>
        <w:rPr>
          <w:snapToGrid w:val="0"/>
        </w:rPr>
      </w:pPr>
      <w:r w:rsidRPr="00BC1BEB">
        <w:rPr>
          <w:snapToGrid w:val="0"/>
        </w:rPr>
        <w:t>Proof roll each layer immediately following completion of compaction</w:t>
      </w:r>
      <w:r>
        <w:rPr>
          <w:snapToGrid w:val="0"/>
        </w:rPr>
        <w:t xml:space="preserve">. </w:t>
      </w:r>
      <w:r w:rsidRPr="00BC1BEB">
        <w:rPr>
          <w:snapToGrid w:val="0"/>
        </w:rPr>
        <w:t>If proof rolling is carried out at a later time, water the surface and roll with the test roller prior to commencement of proof rolling.</w:t>
      </w:r>
    </w:p>
    <w:p w:rsidR="005965BB" w:rsidRDefault="005965BB" w:rsidP="005965BB">
      <w:pPr>
        <w:rPr>
          <w:snapToGrid w:val="0"/>
        </w:rPr>
      </w:pPr>
      <w:r w:rsidRPr="00BC1BEB">
        <w:rPr>
          <w:snapToGrid w:val="0"/>
        </w:rPr>
        <w:t>Compliance; the proof rolling requirements are deemed to comply when an area withstands proof rolling without visible deformation or springing.</w:t>
      </w:r>
    </w:p>
    <w:p w:rsidR="005965BB" w:rsidRPr="00BC1BEB" w:rsidRDefault="005965BB" w:rsidP="005965BB">
      <w:pPr>
        <w:rPr>
          <w:snapToGrid w:val="0"/>
        </w:rPr>
      </w:pPr>
      <w:r>
        <w:rPr>
          <w:snapToGrid w:val="0"/>
        </w:rPr>
        <w:t>Provide uniform and stable support for rear wheel loads when at walking pace.</w:t>
      </w:r>
    </w:p>
    <w:p w:rsidR="005965BB" w:rsidRPr="00BC1BEB" w:rsidRDefault="005965BB" w:rsidP="005965BB">
      <w:pPr>
        <w:rPr>
          <w:snapToGrid w:val="0"/>
        </w:rPr>
      </w:pPr>
      <w:r w:rsidRPr="00BC1BEB">
        <w:rPr>
          <w:snapToGrid w:val="0"/>
        </w:rPr>
        <w:t>Remedial work; remove and reconstruct areas that deform or break up.</w:t>
      </w:r>
    </w:p>
    <w:p w:rsidR="005965BB" w:rsidRPr="00BC1BEB" w:rsidRDefault="005965BB" w:rsidP="005965BB">
      <w:pPr>
        <w:pStyle w:val="Heading3"/>
        <w:rPr>
          <w:lang w:val="en-AU"/>
        </w:rPr>
      </w:pPr>
      <w:r w:rsidRPr="00BC1BEB">
        <w:rPr>
          <w:lang w:val="en-AU"/>
        </w:rPr>
        <w:t xml:space="preserve">Conformance Testing – </w:t>
      </w:r>
      <w:r>
        <w:rPr>
          <w:lang w:val="en-AU"/>
        </w:rPr>
        <w:t>Hold point</w:t>
      </w:r>
    </w:p>
    <w:p w:rsidR="005965BB" w:rsidRPr="00BC1BEB" w:rsidRDefault="005965BB" w:rsidP="005965BB">
      <w:r w:rsidRPr="00BC1BEB">
        <w:t>Ordering procedures; refer to the CONFORMANCE TESTING section for testing requirements and test ordering procedures.</w:t>
      </w:r>
    </w:p>
    <w:p w:rsidR="005965BB" w:rsidRPr="00E16CFA" w:rsidRDefault="005965BB" w:rsidP="005965BB">
      <w:pPr>
        <w:rPr>
          <w:b/>
        </w:rPr>
      </w:pPr>
      <w:r w:rsidRPr="00E16CFA">
        <w:rPr>
          <w:b/>
        </w:rPr>
        <w:t>General Fill</w:t>
      </w:r>
    </w:p>
    <w:p w:rsidR="005965BB" w:rsidRPr="00BC1BEB" w:rsidRDefault="005965BB" w:rsidP="005965BB">
      <w:r w:rsidRPr="00BC1BEB">
        <w:t>Conformance testing will be carried out on each layer of fill.</w:t>
      </w:r>
    </w:p>
    <w:p w:rsidR="005965BB" w:rsidRPr="00E16CFA" w:rsidRDefault="005965BB" w:rsidP="005965BB">
      <w:pPr>
        <w:rPr>
          <w:b/>
        </w:rPr>
      </w:pPr>
      <w:r w:rsidRPr="00E16CFA">
        <w:rPr>
          <w:b/>
        </w:rPr>
        <w:t>Subgrade</w:t>
      </w:r>
    </w:p>
    <w:p w:rsidR="005965BB" w:rsidRPr="00BC1BEB" w:rsidRDefault="005965BB" w:rsidP="005965BB">
      <w:r w:rsidRPr="00BC1BEB">
        <w:t>Subgrade surface will be tested only when it is within level tolerance and conforms to proof rolling.</w:t>
      </w:r>
    </w:p>
    <w:p w:rsidR="005965BB" w:rsidRPr="00BC1BEB" w:rsidRDefault="005965BB" w:rsidP="005965BB">
      <w:r w:rsidRPr="00BC1BEB">
        <w:t>Check subgrade surface levels prior to testing.</w:t>
      </w:r>
    </w:p>
    <w:p w:rsidR="00C454DF" w:rsidRDefault="005965BB">
      <w:r>
        <w:rPr>
          <w:b/>
        </w:rPr>
        <w:t>Hold P</w:t>
      </w:r>
      <w:r w:rsidRPr="004F7A45">
        <w:rPr>
          <w:b/>
        </w:rPr>
        <w:t>oint</w:t>
      </w:r>
      <w:r>
        <w:t xml:space="preserve"> – O</w:t>
      </w:r>
      <w:r w:rsidRPr="00BC1BEB">
        <w:t>btain the Superintendent’s approval of subgrade conformance prior to placing further material.</w:t>
      </w:r>
    </w:p>
    <w:sectPr w:rsidR="00C454DF" w:rsidSect="005A0B13">
      <w:headerReference w:type="even" r:id="rId9"/>
      <w:headerReference w:type="default" r:id="rId10"/>
      <w:footerReference w:type="even" r:id="rId11"/>
      <w:footerReference w:type="default" r:id="rId12"/>
      <w:headerReference w:type="first" r:id="rId13"/>
      <w:footerReference w:type="first" r:id="rId14"/>
      <w:pgSz w:w="11906" w:h="16838"/>
      <w:pgMar w:top="794" w:right="794" w:bottom="79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65BB" w:rsidRDefault="005965BB" w:rsidP="005965BB">
      <w:pPr>
        <w:spacing w:after="0"/>
      </w:pPr>
      <w:r>
        <w:separator/>
      </w:r>
    </w:p>
  </w:endnote>
  <w:endnote w:type="continuationSeparator" w:id="0">
    <w:p w:rsidR="005965BB" w:rsidRDefault="005965BB" w:rsidP="005965B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5BB" w:rsidRDefault="005965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5BB" w:rsidRDefault="005965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5BB" w:rsidRDefault="005965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65BB" w:rsidRDefault="005965BB" w:rsidP="005965BB">
      <w:pPr>
        <w:spacing w:after="0"/>
      </w:pPr>
      <w:r>
        <w:separator/>
      </w:r>
    </w:p>
  </w:footnote>
  <w:footnote w:type="continuationSeparator" w:id="0">
    <w:p w:rsidR="005965BB" w:rsidRDefault="005965BB" w:rsidP="005965B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5BB" w:rsidRDefault="005965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5BB" w:rsidRDefault="005965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5BB" w:rsidRDefault="005965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7368E6"/>
    <w:multiLevelType w:val="multilevel"/>
    <w:tmpl w:val="4AC0242C"/>
    <w:lvl w:ilvl="0">
      <w:start w:val="1"/>
      <w:numFmt w:val="decimal"/>
      <w:pStyle w:val="Heading1"/>
      <w:lvlText w:val="%1"/>
      <w:lvlJc w:val="left"/>
      <w:pPr>
        <w:ind w:left="432" w:hanging="432"/>
      </w:pPr>
    </w:lvl>
    <w:lvl w:ilvl="1">
      <w:start w:val="1"/>
      <w:numFmt w:val="decimal"/>
      <w:pStyle w:val="Heading2"/>
      <w:lvlText w:val="%1.%2"/>
      <w:lvlJc w:val="left"/>
      <w:pPr>
        <w:ind w:left="4121" w:hanging="576"/>
      </w:pPr>
      <w:rPr>
        <w:sz w:val="28"/>
        <w:szCs w:val="28"/>
      </w:rPr>
    </w:lvl>
    <w:lvl w:ilvl="2">
      <w:start w:val="1"/>
      <w:numFmt w:val="decimal"/>
      <w:pStyle w:val="Heading3"/>
      <w:lvlText w:val="%1.%2.%3"/>
      <w:lvlJc w:val="left"/>
      <w:pPr>
        <w:ind w:left="440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37A16396"/>
    <w:multiLevelType w:val="multilevel"/>
    <w:tmpl w:val="1292BEB8"/>
    <w:lvl w:ilvl="0">
      <w:start w:val="1"/>
      <w:numFmt w:val="bullet"/>
      <w:pStyle w:val="Bullet"/>
      <w:lvlText w:val=""/>
      <w:lvlJc w:val="left"/>
      <w:pPr>
        <w:tabs>
          <w:tab w:val="num" w:pos="1276"/>
        </w:tabs>
        <w:ind w:left="1276" w:hanging="284"/>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2" w15:restartNumberingAfterBreak="0">
    <w:nsid w:val="75CB419B"/>
    <w:multiLevelType w:val="hybridMultilevel"/>
    <w:tmpl w:val="C784A328"/>
    <w:lvl w:ilvl="0" w:tplc="9A2C25B4">
      <w:start w:val="1"/>
      <w:numFmt w:val="bullet"/>
      <w:lvlText w:val=""/>
      <w:lvlJc w:val="left"/>
      <w:pPr>
        <w:ind w:left="1080" w:hanging="360"/>
      </w:pPr>
      <w:rPr>
        <w:rFonts w:ascii="Symbol" w:hAnsi="Symbol" w:hint="default"/>
      </w:rPr>
    </w:lvl>
    <w:lvl w:ilvl="1" w:tplc="1C00A93A" w:tentative="1">
      <w:start w:val="1"/>
      <w:numFmt w:val="bullet"/>
      <w:lvlText w:val="o"/>
      <w:lvlJc w:val="left"/>
      <w:pPr>
        <w:ind w:left="1800" w:hanging="360"/>
      </w:pPr>
      <w:rPr>
        <w:rFonts w:ascii="Courier New" w:hAnsi="Courier New" w:cs="Courier New" w:hint="default"/>
      </w:rPr>
    </w:lvl>
    <w:lvl w:ilvl="2" w:tplc="BD308BFA" w:tentative="1">
      <w:start w:val="1"/>
      <w:numFmt w:val="bullet"/>
      <w:lvlText w:val=""/>
      <w:lvlJc w:val="left"/>
      <w:pPr>
        <w:ind w:left="2520" w:hanging="360"/>
      </w:pPr>
      <w:rPr>
        <w:rFonts w:ascii="Wingdings" w:hAnsi="Wingdings" w:hint="default"/>
      </w:rPr>
    </w:lvl>
    <w:lvl w:ilvl="3" w:tplc="88F6A530" w:tentative="1">
      <w:start w:val="1"/>
      <w:numFmt w:val="bullet"/>
      <w:lvlText w:val=""/>
      <w:lvlJc w:val="left"/>
      <w:pPr>
        <w:ind w:left="3240" w:hanging="360"/>
      </w:pPr>
      <w:rPr>
        <w:rFonts w:ascii="Symbol" w:hAnsi="Symbol" w:hint="default"/>
      </w:rPr>
    </w:lvl>
    <w:lvl w:ilvl="4" w:tplc="B260A4EE" w:tentative="1">
      <w:start w:val="1"/>
      <w:numFmt w:val="bullet"/>
      <w:lvlText w:val="o"/>
      <w:lvlJc w:val="left"/>
      <w:pPr>
        <w:ind w:left="3960" w:hanging="360"/>
      </w:pPr>
      <w:rPr>
        <w:rFonts w:ascii="Courier New" w:hAnsi="Courier New" w:cs="Courier New" w:hint="default"/>
      </w:rPr>
    </w:lvl>
    <w:lvl w:ilvl="5" w:tplc="D960BFBA" w:tentative="1">
      <w:start w:val="1"/>
      <w:numFmt w:val="bullet"/>
      <w:lvlText w:val=""/>
      <w:lvlJc w:val="left"/>
      <w:pPr>
        <w:ind w:left="4680" w:hanging="360"/>
      </w:pPr>
      <w:rPr>
        <w:rFonts w:ascii="Wingdings" w:hAnsi="Wingdings" w:hint="default"/>
      </w:rPr>
    </w:lvl>
    <w:lvl w:ilvl="6" w:tplc="E4786F0A" w:tentative="1">
      <w:start w:val="1"/>
      <w:numFmt w:val="bullet"/>
      <w:lvlText w:val=""/>
      <w:lvlJc w:val="left"/>
      <w:pPr>
        <w:ind w:left="5400" w:hanging="360"/>
      </w:pPr>
      <w:rPr>
        <w:rFonts w:ascii="Symbol" w:hAnsi="Symbol" w:hint="default"/>
      </w:rPr>
    </w:lvl>
    <w:lvl w:ilvl="7" w:tplc="2C0061FE" w:tentative="1">
      <w:start w:val="1"/>
      <w:numFmt w:val="bullet"/>
      <w:lvlText w:val="o"/>
      <w:lvlJc w:val="left"/>
      <w:pPr>
        <w:ind w:left="6120" w:hanging="360"/>
      </w:pPr>
      <w:rPr>
        <w:rFonts w:ascii="Courier New" w:hAnsi="Courier New" w:cs="Courier New" w:hint="default"/>
      </w:rPr>
    </w:lvl>
    <w:lvl w:ilvl="8" w:tplc="A17EF19E"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5BB"/>
    <w:rsid w:val="000155B6"/>
    <w:rsid w:val="0007482C"/>
    <w:rsid w:val="000F5A13"/>
    <w:rsid w:val="00143990"/>
    <w:rsid w:val="002B2811"/>
    <w:rsid w:val="00347322"/>
    <w:rsid w:val="00424C1E"/>
    <w:rsid w:val="004B2290"/>
    <w:rsid w:val="005365E4"/>
    <w:rsid w:val="005965BB"/>
    <w:rsid w:val="005A0B13"/>
    <w:rsid w:val="005C28F5"/>
    <w:rsid w:val="006E64BF"/>
    <w:rsid w:val="007171CD"/>
    <w:rsid w:val="00765946"/>
    <w:rsid w:val="007877AA"/>
    <w:rsid w:val="00A70FE1"/>
    <w:rsid w:val="00B71756"/>
    <w:rsid w:val="00C31B4E"/>
    <w:rsid w:val="00D47A24"/>
    <w:rsid w:val="00DC533A"/>
    <w:rsid w:val="00E66211"/>
    <w:rsid w:val="00FC1064"/>
    <w:rsid w:val="00FE0A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6F94648"/>
  <w15:chartTrackingRefBased/>
  <w15:docId w15:val="{876C1337-9C02-4A6B-9D9D-56CA83643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65BB"/>
    <w:pPr>
      <w:spacing w:after="200" w:line="240" w:lineRule="auto"/>
    </w:pPr>
    <w:rPr>
      <w:rFonts w:ascii="Arial" w:eastAsia="Times New Roman" w:hAnsi="Arial" w:cs="Times New Roman"/>
      <w:szCs w:val="20"/>
      <w:lang w:eastAsia="en-AU"/>
    </w:rPr>
  </w:style>
  <w:style w:type="paragraph" w:styleId="Heading1">
    <w:name w:val="heading 1"/>
    <w:aliases w:val="(Chapter Nbr),. (1.0),1,1.,A MAJOR/BOLD,A MAJOR/BOLD1,C,Chapter,Chapter/Section,D&amp;M,H,H1,Head1,Heading 1 Section Heading,Heading 1(Report Only),Heading 1a,Heading A,Heading apps,SP-Section,Section Heading,a-Heading 1,alison,h1,h11,h12,ueshead"/>
    <w:basedOn w:val="Normal"/>
    <w:next w:val="Normal"/>
    <w:link w:val="Heading1Char"/>
    <w:qFormat/>
    <w:rsid w:val="005965BB"/>
    <w:pPr>
      <w:keepNext/>
      <w:numPr>
        <w:numId w:val="2"/>
      </w:numPr>
      <w:spacing w:after="120"/>
      <w:ind w:left="431" w:hanging="431"/>
      <w:outlineLvl w:val="0"/>
    </w:pPr>
    <w:rPr>
      <w:b/>
      <w:bCs/>
      <w:caps/>
      <w:kern w:val="32"/>
      <w:sz w:val="32"/>
      <w:szCs w:val="32"/>
    </w:rPr>
  </w:style>
  <w:style w:type="paragraph" w:styleId="Heading2">
    <w:name w:val="heading 2"/>
    <w:aliases w:val="2,B Sub/Bold,B Sub/Bold1,B Sub/Bold11,B Sub/Bold12,B Sub/Bold13,B Sub/Bold14,B Sub/Bold2,B Sub/Bold3,B Sub/Bold4,B Sub/Bold5,H2,Heading 2 Main Heading,h2,h2 main heading,h2 main heading1,h2 main heading2,h2 main heading3,h2 main heading4,h21,o"/>
    <w:basedOn w:val="Normal"/>
    <w:next w:val="Normal"/>
    <w:link w:val="Heading2Char"/>
    <w:unhideWhenUsed/>
    <w:qFormat/>
    <w:rsid w:val="00A70FE1"/>
    <w:pPr>
      <w:keepNext/>
      <w:numPr>
        <w:ilvl w:val="1"/>
        <w:numId w:val="2"/>
      </w:numPr>
      <w:spacing w:before="120" w:after="120"/>
      <w:ind w:left="578" w:hanging="578"/>
      <w:outlineLvl w:val="1"/>
    </w:pPr>
    <w:rPr>
      <w:b/>
      <w:bCs/>
      <w:iCs/>
      <w:caps/>
      <w:color w:val="606060"/>
      <w:sz w:val="28"/>
      <w:szCs w:val="28"/>
      <w:lang w:val="en-US"/>
    </w:rPr>
  </w:style>
  <w:style w:type="paragraph" w:styleId="Heading3">
    <w:name w:val="heading 3"/>
    <w:aliases w:val="(a),-1,. (1.1.1),3,C Sub-Sub/Italic,C Sub-Sub/Italic1,C Sub-Sub/Italic11,C Sub-Sub/Italic2,H-3,H3,Head 3,Head 31,Head 311,Head 32,Head 321,Head 33,Head...,Head3,Heading 3 Sub Heading,Heading 3p,Sub-heading,Sub-heading1,h3,h3 sub heading,h31,s"/>
    <w:basedOn w:val="Normal"/>
    <w:next w:val="Normal"/>
    <w:link w:val="Heading3Char"/>
    <w:qFormat/>
    <w:rsid w:val="00A70FE1"/>
    <w:pPr>
      <w:keepNext/>
      <w:numPr>
        <w:ilvl w:val="2"/>
        <w:numId w:val="2"/>
      </w:numPr>
      <w:spacing w:before="120" w:after="120"/>
      <w:ind w:left="720"/>
      <w:outlineLvl w:val="2"/>
    </w:pPr>
    <w:rPr>
      <w:rFonts w:cs="Arial"/>
      <w:b/>
      <w:bCs/>
      <w:sz w:val="24"/>
      <w:szCs w:val="26"/>
      <w:lang w:val="en-US"/>
    </w:rPr>
  </w:style>
  <w:style w:type="paragraph" w:styleId="Heading4">
    <w:name w:val="heading 4"/>
    <w:aliases w:val=". (A.),H-4,H4,Heading 4 - special,Heading 4 Char Char,Heading 4 Char Char Char Char,Heading 4 Char Char Char Char Char Char,Heading 4 Char1,Heading 4 Char1 Char Char,Heading 4 Char1 Char Char Char Char,Heading 4 Char1 Char1,L,SP-Text,h4,h41"/>
    <w:basedOn w:val="Normal"/>
    <w:next w:val="Normal"/>
    <w:link w:val="Heading4Char"/>
    <w:uiPriority w:val="9"/>
    <w:unhideWhenUsed/>
    <w:qFormat/>
    <w:rsid w:val="005965BB"/>
    <w:pPr>
      <w:numPr>
        <w:ilvl w:val="3"/>
        <w:numId w:val="2"/>
      </w:numPr>
      <w:spacing w:before="240" w:after="120"/>
      <w:outlineLvl w:val="3"/>
    </w:pPr>
    <w:rPr>
      <w:b/>
      <w:bCs/>
      <w:iCs/>
      <w:color w:val="606060"/>
    </w:rPr>
  </w:style>
  <w:style w:type="paragraph" w:styleId="Heading5">
    <w:name w:val="heading 5"/>
    <w:basedOn w:val="Normal"/>
    <w:next w:val="Normal"/>
    <w:link w:val="Heading5Char"/>
    <w:uiPriority w:val="9"/>
    <w:unhideWhenUsed/>
    <w:qFormat/>
    <w:rsid w:val="005965BB"/>
    <w:pPr>
      <w:keepNext/>
      <w:keepLines/>
      <w:numPr>
        <w:ilvl w:val="4"/>
        <w:numId w:val="2"/>
      </w:numPr>
      <w:spacing w:before="200" w:after="0"/>
      <w:outlineLvl w:val="4"/>
    </w:pPr>
    <w:rPr>
      <w:rFonts w:ascii="Cambria" w:hAnsi="Cambria"/>
      <w:color w:val="243F60"/>
    </w:rPr>
  </w:style>
  <w:style w:type="paragraph" w:styleId="Heading6">
    <w:name w:val="heading 6"/>
    <w:basedOn w:val="Normal"/>
    <w:next w:val="Normal"/>
    <w:link w:val="Heading6Char"/>
    <w:uiPriority w:val="9"/>
    <w:unhideWhenUsed/>
    <w:qFormat/>
    <w:rsid w:val="005965BB"/>
    <w:pPr>
      <w:keepNext/>
      <w:keepLines/>
      <w:numPr>
        <w:ilvl w:val="5"/>
        <w:numId w:val="2"/>
      </w:numPr>
      <w:spacing w:before="200" w:after="0"/>
      <w:outlineLvl w:val="5"/>
    </w:pPr>
    <w:rPr>
      <w:rFonts w:ascii="Cambria" w:hAnsi="Cambria"/>
      <w:i/>
      <w:iCs/>
      <w:color w:val="243F60"/>
    </w:rPr>
  </w:style>
  <w:style w:type="paragraph" w:styleId="Heading7">
    <w:name w:val="heading 7"/>
    <w:basedOn w:val="Normal"/>
    <w:next w:val="Normal"/>
    <w:link w:val="Heading7Char"/>
    <w:uiPriority w:val="9"/>
    <w:unhideWhenUsed/>
    <w:qFormat/>
    <w:rsid w:val="005965BB"/>
    <w:pPr>
      <w:keepNext/>
      <w:keepLines/>
      <w:numPr>
        <w:ilvl w:val="6"/>
        <w:numId w:val="2"/>
      </w:numPr>
      <w:spacing w:before="200" w:after="0"/>
      <w:outlineLvl w:val="6"/>
    </w:pPr>
    <w:rPr>
      <w:rFonts w:ascii="Cambria" w:hAnsi="Cambria"/>
      <w:i/>
      <w:iCs/>
      <w:color w:val="404040"/>
    </w:rPr>
  </w:style>
  <w:style w:type="paragraph" w:styleId="Heading8">
    <w:name w:val="heading 8"/>
    <w:basedOn w:val="Normal"/>
    <w:next w:val="Normal"/>
    <w:link w:val="Heading8Char"/>
    <w:uiPriority w:val="9"/>
    <w:unhideWhenUsed/>
    <w:qFormat/>
    <w:rsid w:val="005965BB"/>
    <w:pPr>
      <w:keepNext/>
      <w:keepLines/>
      <w:numPr>
        <w:ilvl w:val="7"/>
        <w:numId w:val="2"/>
      </w:numPr>
      <w:spacing w:before="200" w:after="0"/>
      <w:outlineLvl w:val="7"/>
    </w:pPr>
    <w:rPr>
      <w:rFonts w:ascii="Cambria" w:hAnsi="Cambria"/>
      <w:color w:val="404040"/>
      <w:sz w:val="20"/>
    </w:rPr>
  </w:style>
  <w:style w:type="paragraph" w:styleId="Heading9">
    <w:name w:val="heading 9"/>
    <w:basedOn w:val="Normal"/>
    <w:next w:val="Normal"/>
    <w:link w:val="Heading9Char"/>
    <w:uiPriority w:val="9"/>
    <w:unhideWhenUsed/>
    <w:qFormat/>
    <w:rsid w:val="005965BB"/>
    <w:pPr>
      <w:keepNext/>
      <w:keepLines/>
      <w:numPr>
        <w:ilvl w:val="8"/>
        <w:numId w:val="2"/>
      </w:numPr>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65BB"/>
    <w:pPr>
      <w:tabs>
        <w:tab w:val="center" w:pos="4513"/>
        <w:tab w:val="right" w:pos="9026"/>
      </w:tabs>
      <w:spacing w:after="0"/>
    </w:pPr>
  </w:style>
  <w:style w:type="character" w:customStyle="1" w:styleId="HeaderChar">
    <w:name w:val="Header Char"/>
    <w:basedOn w:val="DefaultParagraphFont"/>
    <w:link w:val="Header"/>
    <w:uiPriority w:val="99"/>
    <w:rsid w:val="005965BB"/>
  </w:style>
  <w:style w:type="paragraph" w:styleId="Footer">
    <w:name w:val="footer"/>
    <w:basedOn w:val="Normal"/>
    <w:link w:val="FooterChar"/>
    <w:uiPriority w:val="99"/>
    <w:unhideWhenUsed/>
    <w:rsid w:val="005965BB"/>
    <w:pPr>
      <w:tabs>
        <w:tab w:val="center" w:pos="4513"/>
        <w:tab w:val="right" w:pos="9026"/>
      </w:tabs>
      <w:spacing w:after="0"/>
    </w:pPr>
  </w:style>
  <w:style w:type="character" w:customStyle="1" w:styleId="FooterChar">
    <w:name w:val="Footer Char"/>
    <w:basedOn w:val="DefaultParagraphFont"/>
    <w:link w:val="Footer"/>
    <w:uiPriority w:val="99"/>
    <w:rsid w:val="005965BB"/>
  </w:style>
  <w:style w:type="character" w:customStyle="1" w:styleId="Heading1Char">
    <w:name w:val="Heading 1 Char"/>
    <w:aliases w:val="(Chapter Nbr) Char,. (1.0) Char,1 Char,1. Char,A MAJOR/BOLD Char,A MAJOR/BOLD1 Char,C Char,Chapter Char,Chapter/Section Char,D&amp;M Char,H Char,H1 Char,Head1 Char,Heading 1 Section Heading Char,Heading 1(Report Only) Char,Heading 1a Char"/>
    <w:basedOn w:val="DefaultParagraphFont"/>
    <w:link w:val="Heading1"/>
    <w:rsid w:val="005965BB"/>
    <w:rPr>
      <w:rFonts w:ascii="Arial" w:eastAsia="Times New Roman" w:hAnsi="Arial" w:cs="Times New Roman"/>
      <w:b/>
      <w:bCs/>
      <w:caps/>
      <w:kern w:val="32"/>
      <w:sz w:val="32"/>
      <w:szCs w:val="32"/>
      <w:lang w:eastAsia="en-AU"/>
    </w:rPr>
  </w:style>
  <w:style w:type="character" w:customStyle="1" w:styleId="Heading2Char">
    <w:name w:val="Heading 2 Char"/>
    <w:aliases w:val="2 Char,B Sub/Bold Char,B Sub/Bold1 Char,B Sub/Bold11 Char,B Sub/Bold12 Char,B Sub/Bold13 Char,B Sub/Bold14 Char,B Sub/Bold2 Char,B Sub/Bold3 Char,B Sub/Bold4 Char,B Sub/Bold5 Char,H2 Char,Heading 2 Main Heading Char,h2 Char,h21 Char"/>
    <w:basedOn w:val="DefaultParagraphFont"/>
    <w:link w:val="Heading2"/>
    <w:rsid w:val="00A70FE1"/>
    <w:rPr>
      <w:rFonts w:ascii="Arial" w:eastAsia="Times New Roman" w:hAnsi="Arial" w:cs="Times New Roman"/>
      <w:b/>
      <w:bCs/>
      <w:iCs/>
      <w:caps/>
      <w:color w:val="606060"/>
      <w:sz w:val="28"/>
      <w:szCs w:val="28"/>
      <w:lang w:val="en-US" w:eastAsia="en-AU"/>
    </w:rPr>
  </w:style>
  <w:style w:type="character" w:customStyle="1" w:styleId="Heading3Char">
    <w:name w:val="Heading 3 Char"/>
    <w:aliases w:val="(a) Char,-1 Char,. (1.1.1) Char,3 Char,C Sub-Sub/Italic Char,C Sub-Sub/Italic1 Char,C Sub-Sub/Italic11 Char,C Sub-Sub/Italic2 Char,H-3 Char,H3 Char,Head 3 Char,Head 31 Char,Head 311 Char,Head 32 Char,Head 321 Char,Head 33 Char,Head3 Char"/>
    <w:basedOn w:val="DefaultParagraphFont"/>
    <w:link w:val="Heading3"/>
    <w:rsid w:val="00A70FE1"/>
    <w:rPr>
      <w:rFonts w:ascii="Arial" w:eastAsia="Times New Roman" w:hAnsi="Arial" w:cs="Arial"/>
      <w:b/>
      <w:bCs/>
      <w:sz w:val="24"/>
      <w:szCs w:val="26"/>
      <w:lang w:val="en-US" w:eastAsia="en-AU"/>
    </w:rPr>
  </w:style>
  <w:style w:type="character" w:customStyle="1" w:styleId="Heading4Char">
    <w:name w:val="Heading 4 Char"/>
    <w:aliases w:val=". (A.) Char,H-4 Char,H4 Char,Heading 4 - special Char,Heading 4 Char Char Char,Heading 4 Char Char Char Char Char,Heading 4 Char Char Char Char Char Char Char,Heading 4 Char1 Char,Heading 4 Char1 Char Char Char,Heading 4 Char1 Char1 Char"/>
    <w:basedOn w:val="DefaultParagraphFont"/>
    <w:link w:val="Heading4"/>
    <w:uiPriority w:val="9"/>
    <w:rsid w:val="005965BB"/>
    <w:rPr>
      <w:rFonts w:ascii="Arial" w:eastAsia="Times New Roman" w:hAnsi="Arial" w:cs="Times New Roman"/>
      <w:b/>
      <w:bCs/>
      <w:iCs/>
      <w:color w:val="606060"/>
      <w:szCs w:val="20"/>
      <w:lang w:eastAsia="en-AU"/>
    </w:rPr>
  </w:style>
  <w:style w:type="character" w:customStyle="1" w:styleId="Heading5Char">
    <w:name w:val="Heading 5 Char"/>
    <w:basedOn w:val="DefaultParagraphFont"/>
    <w:link w:val="Heading5"/>
    <w:uiPriority w:val="9"/>
    <w:rsid w:val="005965BB"/>
    <w:rPr>
      <w:rFonts w:ascii="Cambria" w:eastAsia="Times New Roman" w:hAnsi="Cambria" w:cs="Times New Roman"/>
      <w:color w:val="243F60"/>
      <w:szCs w:val="20"/>
      <w:lang w:eastAsia="en-AU"/>
    </w:rPr>
  </w:style>
  <w:style w:type="character" w:customStyle="1" w:styleId="Heading6Char">
    <w:name w:val="Heading 6 Char"/>
    <w:basedOn w:val="DefaultParagraphFont"/>
    <w:link w:val="Heading6"/>
    <w:uiPriority w:val="9"/>
    <w:rsid w:val="005965BB"/>
    <w:rPr>
      <w:rFonts w:ascii="Cambria" w:eastAsia="Times New Roman" w:hAnsi="Cambria" w:cs="Times New Roman"/>
      <w:i/>
      <w:iCs/>
      <w:color w:val="243F60"/>
      <w:szCs w:val="20"/>
      <w:lang w:eastAsia="en-AU"/>
    </w:rPr>
  </w:style>
  <w:style w:type="character" w:customStyle="1" w:styleId="Heading7Char">
    <w:name w:val="Heading 7 Char"/>
    <w:basedOn w:val="DefaultParagraphFont"/>
    <w:link w:val="Heading7"/>
    <w:uiPriority w:val="9"/>
    <w:rsid w:val="005965BB"/>
    <w:rPr>
      <w:rFonts w:ascii="Cambria" w:eastAsia="Times New Roman" w:hAnsi="Cambria" w:cs="Times New Roman"/>
      <w:i/>
      <w:iCs/>
      <w:color w:val="404040"/>
      <w:szCs w:val="20"/>
      <w:lang w:eastAsia="en-AU"/>
    </w:rPr>
  </w:style>
  <w:style w:type="character" w:customStyle="1" w:styleId="Heading8Char">
    <w:name w:val="Heading 8 Char"/>
    <w:basedOn w:val="DefaultParagraphFont"/>
    <w:link w:val="Heading8"/>
    <w:uiPriority w:val="9"/>
    <w:rsid w:val="005965BB"/>
    <w:rPr>
      <w:rFonts w:ascii="Cambria" w:eastAsia="Times New Roman" w:hAnsi="Cambria" w:cs="Times New Roman"/>
      <w:color w:val="404040"/>
      <w:sz w:val="20"/>
      <w:szCs w:val="20"/>
      <w:lang w:eastAsia="en-AU"/>
    </w:rPr>
  </w:style>
  <w:style w:type="character" w:customStyle="1" w:styleId="Heading9Char">
    <w:name w:val="Heading 9 Char"/>
    <w:basedOn w:val="DefaultParagraphFont"/>
    <w:link w:val="Heading9"/>
    <w:uiPriority w:val="9"/>
    <w:rsid w:val="005965BB"/>
    <w:rPr>
      <w:rFonts w:ascii="Cambria" w:eastAsia="Times New Roman" w:hAnsi="Cambria" w:cs="Times New Roman"/>
      <w:i/>
      <w:iCs/>
      <w:color w:val="404040"/>
      <w:sz w:val="20"/>
      <w:szCs w:val="20"/>
      <w:lang w:eastAsia="en-AU"/>
    </w:rPr>
  </w:style>
  <w:style w:type="paragraph" w:customStyle="1" w:styleId="BodyText">
    <w:name w:val="BodyText"/>
    <w:basedOn w:val="Normal"/>
    <w:link w:val="BodyTextChar"/>
    <w:rsid w:val="005965BB"/>
    <w:pPr>
      <w:spacing w:before="60" w:after="60"/>
      <w:jc w:val="both"/>
    </w:pPr>
  </w:style>
  <w:style w:type="character" w:styleId="Hyperlink">
    <w:name w:val="Hyperlink"/>
    <w:uiPriority w:val="99"/>
    <w:unhideWhenUsed/>
    <w:rsid w:val="005965BB"/>
    <w:rPr>
      <w:color w:val="0000FF"/>
      <w:u w:val="single"/>
    </w:rPr>
  </w:style>
  <w:style w:type="paragraph" w:customStyle="1" w:styleId="TStyle">
    <w:name w:val="TStyle"/>
    <w:basedOn w:val="Normal"/>
    <w:rsid w:val="005965BB"/>
    <w:pPr>
      <w:spacing w:before="60" w:after="60"/>
    </w:pPr>
    <w:rPr>
      <w:lang w:val="en-US"/>
    </w:rPr>
  </w:style>
  <w:style w:type="character" w:customStyle="1" w:styleId="BodyTextChar">
    <w:name w:val="BodyText Char"/>
    <w:link w:val="BodyText"/>
    <w:locked/>
    <w:rsid w:val="005965BB"/>
    <w:rPr>
      <w:rFonts w:ascii="Arial" w:eastAsia="Times New Roman" w:hAnsi="Arial" w:cs="Times New Roman"/>
      <w:szCs w:val="20"/>
      <w:lang w:eastAsia="en-AU"/>
    </w:rPr>
  </w:style>
  <w:style w:type="paragraph" w:styleId="ListParagraph">
    <w:name w:val="List Paragraph"/>
    <w:aliases w:val="Recommendation,List Paragraph1,List Paragraph11,Bullet point,List Paragraph Number,Bullet Point,Bullet points,Content descriptions,Body Bullets 1,Main,CV text,F5 List Paragraph,Dot pt,List Paragraph111"/>
    <w:basedOn w:val="Normal"/>
    <w:link w:val="ListParagraphChar"/>
    <w:uiPriority w:val="34"/>
    <w:qFormat/>
    <w:rsid w:val="005965BB"/>
    <w:pPr>
      <w:ind w:left="720"/>
      <w:contextualSpacing/>
    </w:pPr>
  </w:style>
  <w:style w:type="paragraph" w:customStyle="1" w:styleId="Bullet">
    <w:name w:val="Bullet"/>
    <w:aliases w:val="Alt.,Bullet 1,Bullet for no #'s,MA Bullet 1,b1,body Char Char,body Char Char Char Char,body Char Char Char Char Char,body Char Char Char Char Char Char Char,body Char Char Char Char Char Char Char Char,body Char Char Char5,body1,bullet 1,bullet1"/>
    <w:basedOn w:val="ListParagraph"/>
    <w:link w:val="BulletChar"/>
    <w:qFormat/>
    <w:rsid w:val="005965BB"/>
    <w:pPr>
      <w:numPr>
        <w:numId w:val="1"/>
      </w:numPr>
      <w:tabs>
        <w:tab w:val="clear" w:pos="1276"/>
        <w:tab w:val="num" w:pos="360"/>
        <w:tab w:val="left" w:pos="567"/>
      </w:tabs>
      <w:spacing w:after="120"/>
      <w:ind w:left="720" w:firstLine="0"/>
      <w:contextualSpacing w:val="0"/>
    </w:pPr>
  </w:style>
  <w:style w:type="character" w:customStyle="1" w:styleId="BulletChar">
    <w:name w:val="Bullet Char"/>
    <w:link w:val="Bullet"/>
    <w:rsid w:val="005965BB"/>
    <w:rPr>
      <w:rFonts w:ascii="Arial" w:eastAsia="Times New Roman" w:hAnsi="Arial" w:cs="Times New Roman"/>
      <w:szCs w:val="20"/>
      <w:lang w:eastAsia="en-AU"/>
    </w:rPr>
  </w:style>
  <w:style w:type="paragraph" w:customStyle="1" w:styleId="BoldCapital">
    <w:name w:val="Bold Capital"/>
    <w:basedOn w:val="Normal"/>
    <w:rsid w:val="005965BB"/>
    <w:pPr>
      <w:widowControl w:val="0"/>
      <w:spacing w:before="40" w:after="40"/>
    </w:pPr>
    <w:rPr>
      <w:b/>
      <w:caps/>
      <w:lang w:val="en-US"/>
    </w:rPr>
  </w:style>
  <w:style w:type="paragraph" w:customStyle="1" w:styleId="guidenotes">
    <w:name w:val="guide notes"/>
    <w:basedOn w:val="Normal"/>
    <w:next w:val="Normal"/>
    <w:link w:val="guidenotesChar"/>
    <w:qFormat/>
    <w:rsid w:val="005965BB"/>
    <w:pPr>
      <w:widowControl w:val="0"/>
      <w:tabs>
        <w:tab w:val="left" w:pos="3175"/>
      </w:tabs>
      <w:ind w:left="3175"/>
    </w:pPr>
    <w:rPr>
      <w:i/>
      <w:vanish/>
      <w:color w:val="00FF00"/>
      <w:spacing w:val="-2"/>
      <w:lang w:val="en-US"/>
    </w:rPr>
  </w:style>
  <w:style w:type="character" w:customStyle="1" w:styleId="guidenotesChar">
    <w:name w:val="guide notes Char"/>
    <w:link w:val="guidenotes"/>
    <w:rsid w:val="005965BB"/>
    <w:rPr>
      <w:rFonts w:ascii="Arial" w:eastAsia="Times New Roman" w:hAnsi="Arial" w:cs="Times New Roman"/>
      <w:i/>
      <w:vanish/>
      <w:color w:val="00FF00"/>
      <w:spacing w:val="-2"/>
      <w:szCs w:val="20"/>
      <w:lang w:val="en-US" w:eastAsia="en-AU"/>
    </w:rPr>
  </w:style>
  <w:style w:type="character" w:customStyle="1" w:styleId="ListParagraphChar">
    <w:name w:val="List Paragraph Char"/>
    <w:aliases w:val="Recommendation Char,List Paragraph1 Char,List Paragraph11 Char,Bullet point Char,List Paragraph Number Char,Bullet Point Char,Bullet points Char,Content descriptions Char,Body Bullets 1 Char,Main Char,CV text Char,Dot pt Char"/>
    <w:link w:val="ListParagraph"/>
    <w:uiPriority w:val="34"/>
    <w:rsid w:val="005965BB"/>
    <w:rPr>
      <w:rFonts w:ascii="Arial" w:eastAsia="Times New Roman" w:hAnsi="Arial" w:cs="Times New Roman"/>
      <w:szCs w:val="20"/>
      <w:lang w:eastAsia="en-AU"/>
    </w:rPr>
  </w:style>
  <w:style w:type="character" w:styleId="Strong">
    <w:name w:val="Strong"/>
    <w:basedOn w:val="DefaultParagraphFont"/>
    <w:uiPriority w:val="22"/>
    <w:qFormat/>
    <w:rsid w:val="007877AA"/>
    <w:rPr>
      <w:b/>
      <w:bCs/>
    </w:rPr>
  </w:style>
  <w:style w:type="paragraph" w:styleId="BalloonText">
    <w:name w:val="Balloon Text"/>
    <w:basedOn w:val="Normal"/>
    <w:link w:val="BalloonTextChar"/>
    <w:uiPriority w:val="99"/>
    <w:semiHidden/>
    <w:unhideWhenUsed/>
    <w:rsid w:val="000F5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A13"/>
    <w:rPr>
      <w:rFonts w:ascii="Segoe UI" w:eastAsia="Times New Roman" w:hAnsi="Segoe UI" w:cs="Segoe UI"/>
      <w:sz w:val="18"/>
      <w:szCs w:val="1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pl.nt.gov.au/industry/technical-standards-guidelines-and-specifications/materials-testing-manua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K a p i s h F i l e n a m e T o U r i M a p p i n g s   x m l n s : x s i = " h t t p : / / w w w . w 3 . o r g / 2 0 0 1 / X M L S c h e m a - i n s t a n c e "   x m l n s : x s d = " h t t p : / / w w w . w 3 . o r g / 2 0 0 1 / X M L S c h e m a " / > 
</file>

<file path=customXml/itemProps1.xml><?xml version="1.0" encoding="utf-8"?>
<ds:datastoreItem xmlns:ds="http://schemas.openxmlformats.org/officeDocument/2006/customXml" ds:itemID="{D622CB0B-8812-437D-B721-56241648DB6B}">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3970</Words>
  <Characters>22630</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Northern Territory Government</Company>
  <LinksUpToDate>false</LinksUpToDate>
  <CharactersWithSpaces>26547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Maharjan</dc:creator>
  <cp:keywords/>
  <dc:description/>
  <cp:lastModifiedBy>Robert Haakmeester</cp:lastModifiedBy>
  <cp:revision>3</cp:revision>
  <cp:lastPrinted>2023-08-09T07:20:00Z</cp:lastPrinted>
  <dcterms:created xsi:type="dcterms:W3CDTF">2023-08-09T07:20:00Z</dcterms:created>
  <dcterms:modified xsi:type="dcterms:W3CDTF">2023-08-09T07:21:00Z</dcterms:modified>
</cp:coreProperties>
</file>